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EC8C" w14:textId="77777777" w:rsidR="00902E7E" w:rsidRDefault="00902E7E">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36"/>
      </w:tblGrid>
      <w:tr w:rsidR="00902E7E" w14:paraId="3E89CB31" w14:textId="77777777" w:rsidTr="00902E7E">
        <w:tc>
          <w:tcPr>
            <w:tcW w:w="4248" w:type="dxa"/>
          </w:tcPr>
          <w:p w14:paraId="6FD87D37" w14:textId="77777777" w:rsidR="00902E7E" w:rsidRDefault="00902E7E"/>
          <w:p w14:paraId="5F489653" w14:textId="77777777" w:rsidR="00902E7E" w:rsidRDefault="00902E7E">
            <w:r>
              <w:rPr>
                <w:noProof/>
              </w:rPr>
              <w:drawing>
                <wp:inline distT="0" distB="0" distL="0" distR="0" wp14:anchorId="431A05ED" wp14:editId="58621D67">
                  <wp:extent cx="2554627" cy="664903"/>
                  <wp:effectExtent l="0" t="0" r="0" b="0"/>
                  <wp:docPr id="16176299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29965" name="Image 1617629965"/>
                          <pic:cNvPicPr/>
                        </pic:nvPicPr>
                        <pic:blipFill>
                          <a:blip r:embed="rId10">
                            <a:extLst>
                              <a:ext uri="{28A0092B-C50C-407E-A947-70E740481C1C}">
                                <a14:useLocalDpi xmlns:a14="http://schemas.microsoft.com/office/drawing/2010/main" val="0"/>
                              </a:ext>
                            </a:extLst>
                          </a:blip>
                          <a:stretch>
                            <a:fillRect/>
                          </a:stretch>
                        </pic:blipFill>
                        <pic:spPr>
                          <a:xfrm>
                            <a:off x="0" y="0"/>
                            <a:ext cx="2703414" cy="703628"/>
                          </a:xfrm>
                          <a:prstGeom prst="rect">
                            <a:avLst/>
                          </a:prstGeom>
                        </pic:spPr>
                      </pic:pic>
                    </a:graphicData>
                  </a:graphic>
                </wp:inline>
              </w:drawing>
            </w:r>
          </w:p>
        </w:tc>
        <w:tc>
          <w:tcPr>
            <w:tcW w:w="4536" w:type="dxa"/>
          </w:tcPr>
          <w:p w14:paraId="7EBBC4FE" w14:textId="77777777" w:rsidR="00902E7E" w:rsidRDefault="00902E7E">
            <w:r>
              <w:rPr>
                <w:noProof/>
                <w:lang w:eastAsia="fr-FR"/>
              </w:rPr>
              <w:drawing>
                <wp:anchor distT="0" distB="0" distL="114300" distR="114300" simplePos="0" relativeHeight="251658240" behindDoc="0" locked="0" layoutInCell="1" allowOverlap="1" wp14:anchorId="470EDD1F" wp14:editId="2045CCE6">
                  <wp:simplePos x="0" y="0"/>
                  <wp:positionH relativeFrom="column">
                    <wp:posOffset>712239</wp:posOffset>
                  </wp:positionH>
                  <wp:positionV relativeFrom="paragraph">
                    <wp:posOffset>182187</wp:posOffset>
                  </wp:positionV>
                  <wp:extent cx="1365396" cy="544945"/>
                  <wp:effectExtent l="0" t="0" r="0" b="127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1" cstate="print">
                            <a:extLst>
                              <a:ext uri="{28A0092B-C50C-407E-A947-70E740481C1C}">
                                <a14:useLocalDpi xmlns:a14="http://schemas.microsoft.com/office/drawing/2010/main" val="0"/>
                              </a:ext>
                            </a:extLst>
                          </a:blip>
                          <a:srcRect l="16992" t="30557" r="16335" b="32104"/>
                          <a:stretch>
                            <a:fillRect/>
                          </a:stretch>
                        </pic:blipFill>
                        <pic:spPr bwMode="auto">
                          <a:xfrm>
                            <a:off x="0" y="0"/>
                            <a:ext cx="1365396" cy="54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1321F" w14:textId="77777777" w:rsidR="00902E7E" w:rsidRDefault="00902E7E"/>
          <w:p w14:paraId="6B6C8DD3" w14:textId="77777777" w:rsidR="00902E7E" w:rsidRDefault="00902E7E"/>
        </w:tc>
      </w:tr>
      <w:tr w:rsidR="00902E7E" w14:paraId="3C011889" w14:textId="77777777" w:rsidTr="00902E7E">
        <w:tc>
          <w:tcPr>
            <w:tcW w:w="4248" w:type="dxa"/>
          </w:tcPr>
          <w:p w14:paraId="4744F43C" w14:textId="77777777" w:rsidR="00902E7E" w:rsidRDefault="00902E7E" w:rsidP="00902E7E">
            <w:pPr>
              <w:tabs>
                <w:tab w:val="left" w:pos="2560"/>
              </w:tabs>
            </w:pPr>
          </w:p>
          <w:p w14:paraId="3B5A8F0B" w14:textId="3937E942" w:rsidR="00902E7E" w:rsidRDefault="004635DA" w:rsidP="00902E7E">
            <w:pPr>
              <w:tabs>
                <w:tab w:val="left" w:pos="2560"/>
              </w:tabs>
              <w:jc w:val="center"/>
            </w:pPr>
            <w:r>
              <w:rPr>
                <w:noProof/>
              </w:rPr>
              <w:drawing>
                <wp:inline distT="0" distB="0" distL="0" distR="0" wp14:anchorId="73C49264" wp14:editId="752B0F8E">
                  <wp:extent cx="1797050" cy="721994"/>
                  <wp:effectExtent l="0" t="0" r="0" b="0"/>
                  <wp:docPr id="21049457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632" cy="732272"/>
                          </a:xfrm>
                          <a:prstGeom prst="rect">
                            <a:avLst/>
                          </a:prstGeom>
                          <a:noFill/>
                          <a:ln>
                            <a:noFill/>
                          </a:ln>
                        </pic:spPr>
                      </pic:pic>
                    </a:graphicData>
                  </a:graphic>
                </wp:inline>
              </w:drawing>
            </w:r>
          </w:p>
        </w:tc>
        <w:tc>
          <w:tcPr>
            <w:tcW w:w="4536" w:type="dxa"/>
          </w:tcPr>
          <w:p w14:paraId="1C2E6C65" w14:textId="77777777" w:rsidR="00902E7E" w:rsidRDefault="00902E7E" w:rsidP="00902E7E">
            <w:pPr>
              <w:jc w:val="center"/>
              <w:rPr>
                <w:noProof/>
                <w:lang w:eastAsia="fr-FR"/>
              </w:rPr>
            </w:pPr>
            <w:r>
              <w:rPr>
                <w:noProof/>
              </w:rPr>
              <w:drawing>
                <wp:inline distT="0" distB="0" distL="0" distR="0" wp14:anchorId="74608115" wp14:editId="3544F98B">
                  <wp:extent cx="1829538" cy="1292744"/>
                  <wp:effectExtent l="0" t="0" r="0" b="0"/>
                  <wp:docPr id="15944370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37093" name="Image 159443709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3391" cy="1344928"/>
                          </a:xfrm>
                          <a:prstGeom prst="rect">
                            <a:avLst/>
                          </a:prstGeom>
                        </pic:spPr>
                      </pic:pic>
                    </a:graphicData>
                  </a:graphic>
                </wp:inline>
              </w:drawing>
            </w:r>
          </w:p>
        </w:tc>
      </w:tr>
    </w:tbl>
    <w:p w14:paraId="1117224E" w14:textId="77777777" w:rsidR="00902E7E" w:rsidRDefault="00902E7E"/>
    <w:p w14:paraId="3F8BB858" w14:textId="77777777" w:rsidR="00902E7E" w:rsidRPr="00902E7E" w:rsidRDefault="00902E7E">
      <w:pPr>
        <w:rPr>
          <w:b/>
          <w:bCs/>
          <w:i/>
          <w:iCs/>
          <w:color w:val="002060"/>
        </w:rPr>
      </w:pPr>
      <w:r w:rsidRPr="00902E7E">
        <w:rPr>
          <w:b/>
          <w:bCs/>
          <w:i/>
          <w:iCs/>
          <w:color w:val="002060"/>
        </w:rPr>
        <w:t>Communiqué de presse</w:t>
      </w:r>
    </w:p>
    <w:p w14:paraId="6E2BCFAC" w14:textId="77777777" w:rsidR="00902E7E" w:rsidRDefault="00902E7E"/>
    <w:p w14:paraId="21CAF32C" w14:textId="77777777" w:rsidR="00902E7E" w:rsidRPr="00902E7E" w:rsidRDefault="00902E7E" w:rsidP="00902E7E">
      <w:pPr>
        <w:spacing w:before="100" w:beforeAutospacing="1" w:after="100" w:afterAutospacing="1"/>
        <w:jc w:val="center"/>
        <w:outlineLvl w:val="1"/>
        <w:rPr>
          <w:rFonts w:eastAsia="Times New Roman" w:cstheme="minorHAnsi"/>
          <w:b/>
          <w:bCs/>
          <w:color w:val="002060"/>
          <w:kern w:val="0"/>
          <w:sz w:val="36"/>
          <w:szCs w:val="36"/>
          <w:lang w:eastAsia="fr-FR"/>
          <w14:ligatures w14:val="none"/>
        </w:rPr>
      </w:pPr>
      <w:r w:rsidRPr="00902E7E">
        <w:rPr>
          <w:rFonts w:eastAsia="Times New Roman" w:cstheme="minorHAnsi"/>
          <w:b/>
          <w:bCs/>
          <w:color w:val="002060"/>
          <w:kern w:val="0"/>
          <w:sz w:val="36"/>
          <w:szCs w:val="36"/>
          <w:lang w:eastAsia="fr-FR"/>
          <w14:ligatures w14:val="none"/>
        </w:rPr>
        <w:t>Financement de la perte d’autonomie : ce que pensent vraiment les Français</w:t>
      </w:r>
    </w:p>
    <w:p w14:paraId="01DF91DD" w14:textId="77777777" w:rsidR="00902E7E" w:rsidRPr="00902E7E" w:rsidRDefault="00902E7E" w:rsidP="00902E7E">
      <w:pPr>
        <w:spacing w:before="100" w:beforeAutospacing="1" w:after="100" w:afterAutospacing="1"/>
        <w:rPr>
          <w:rFonts w:eastAsia="Times New Roman" w:cstheme="minorHAnsi"/>
          <w:color w:val="002060"/>
          <w:kern w:val="0"/>
          <w:lang w:eastAsia="fr-FR"/>
          <w14:ligatures w14:val="none"/>
        </w:rPr>
      </w:pPr>
      <w:r w:rsidRPr="00902E7E">
        <w:rPr>
          <w:rFonts w:eastAsia="Times New Roman" w:cstheme="minorHAnsi"/>
          <w:b/>
          <w:bCs/>
          <w:color w:val="002060"/>
          <w:kern w:val="0"/>
          <w:lang w:eastAsia="fr-FR"/>
          <w14:ligatures w14:val="none"/>
        </w:rPr>
        <w:t>Une nouvelle enquête révèle les préférences, blocages et attentes de la population face à un enjeu clé de notre modèle social</w:t>
      </w:r>
      <w:r w:rsidR="00FB0444">
        <w:rPr>
          <w:rFonts w:eastAsia="Times New Roman" w:cstheme="minorHAnsi"/>
          <w:b/>
          <w:bCs/>
          <w:color w:val="002060"/>
          <w:kern w:val="0"/>
          <w:lang w:eastAsia="fr-FR"/>
          <w14:ligatures w14:val="none"/>
        </w:rPr>
        <w:t>.</w:t>
      </w:r>
    </w:p>
    <w:p w14:paraId="78EB8B92" w14:textId="089FE6E2" w:rsidR="00902E7E" w:rsidRPr="00902E7E" w:rsidRDefault="00902E7E" w:rsidP="00902E7E">
      <w:pPr>
        <w:spacing w:before="100" w:beforeAutospacing="1" w:after="100" w:afterAutospacing="1"/>
        <w:jc w:val="both"/>
        <w:rPr>
          <w:rFonts w:eastAsia="Times New Roman" w:cstheme="minorHAnsi"/>
          <w:color w:val="000000"/>
          <w:kern w:val="0"/>
          <w:lang w:eastAsia="fr-FR"/>
          <w14:ligatures w14:val="none"/>
        </w:rPr>
      </w:pPr>
      <w:r w:rsidRPr="00FB0444">
        <w:rPr>
          <w:rFonts w:eastAsia="Times New Roman" w:cstheme="minorHAnsi"/>
          <w:b/>
          <w:bCs/>
          <w:color w:val="000000"/>
          <w:kern w:val="0"/>
          <w:lang w:eastAsia="fr-FR"/>
          <w14:ligatures w14:val="none"/>
        </w:rPr>
        <w:t>Paris, le 24 juin 2025</w:t>
      </w:r>
      <w:r w:rsidRPr="00FB0444">
        <w:rPr>
          <w:rFonts w:eastAsia="Times New Roman" w:cstheme="minorHAnsi"/>
          <w:color w:val="000000"/>
          <w:kern w:val="0"/>
          <w:lang w:eastAsia="fr-FR"/>
          <w14:ligatures w14:val="none"/>
        </w:rPr>
        <w:t xml:space="preserve"> - </w:t>
      </w:r>
      <w:r w:rsidRPr="00902E7E">
        <w:rPr>
          <w:rFonts w:eastAsia="Times New Roman" w:cstheme="minorHAnsi"/>
          <w:color w:val="000000"/>
          <w:kern w:val="0"/>
          <w:lang w:eastAsia="fr-FR"/>
          <w14:ligatures w14:val="none"/>
        </w:rPr>
        <w:t>Face au vieillissement accéléré de la population et à la hausse attendue des besoins en accompagnement des personnes en situation de perte d’autonomie, une </w:t>
      </w:r>
      <w:r w:rsidRPr="00902E7E">
        <w:rPr>
          <w:rFonts w:eastAsia="Times New Roman" w:cstheme="minorHAnsi"/>
          <w:b/>
          <w:bCs/>
          <w:color w:val="000000"/>
          <w:kern w:val="0"/>
          <w:lang w:eastAsia="fr-FR"/>
          <w14:ligatures w14:val="none"/>
        </w:rPr>
        <w:t>enquête nationale</w:t>
      </w:r>
      <w:r w:rsidRPr="00902E7E">
        <w:rPr>
          <w:rFonts w:eastAsia="Times New Roman" w:cstheme="minorHAnsi"/>
          <w:color w:val="000000"/>
          <w:kern w:val="0"/>
          <w:lang w:eastAsia="fr-FR"/>
          <w14:ligatures w14:val="none"/>
        </w:rPr>
        <w:t> menée en mai 2025 auprès d’un </w:t>
      </w:r>
      <w:r w:rsidRPr="00902E7E">
        <w:rPr>
          <w:rFonts w:eastAsia="Times New Roman" w:cstheme="minorHAnsi"/>
          <w:b/>
          <w:bCs/>
          <w:color w:val="000000"/>
          <w:kern w:val="0"/>
          <w:lang w:eastAsia="fr-FR"/>
          <w14:ligatures w14:val="none"/>
        </w:rPr>
        <w:t xml:space="preserve">échantillon représentatif de </w:t>
      </w:r>
      <w:r w:rsidRPr="00961CC5">
        <w:rPr>
          <w:rFonts w:eastAsia="Times New Roman" w:cstheme="minorHAnsi"/>
          <w:b/>
          <w:bCs/>
          <w:color w:val="000000"/>
          <w:kern w:val="0"/>
          <w:lang w:eastAsia="fr-FR"/>
          <w14:ligatures w14:val="none"/>
        </w:rPr>
        <w:t>1 </w:t>
      </w:r>
      <w:r w:rsidR="002563D1" w:rsidRPr="00961CC5">
        <w:rPr>
          <w:rFonts w:eastAsia="Times New Roman" w:cstheme="minorHAnsi"/>
          <w:b/>
          <w:bCs/>
          <w:color w:val="000000"/>
          <w:kern w:val="0"/>
          <w:lang w:eastAsia="fr-FR"/>
          <w14:ligatures w14:val="none"/>
        </w:rPr>
        <w:t>0</w:t>
      </w:r>
      <w:r w:rsidRPr="00961CC5">
        <w:rPr>
          <w:rFonts w:eastAsia="Times New Roman" w:cstheme="minorHAnsi"/>
          <w:b/>
          <w:bCs/>
          <w:color w:val="000000"/>
          <w:kern w:val="0"/>
          <w:lang w:eastAsia="fr-FR"/>
          <w14:ligatures w14:val="none"/>
        </w:rPr>
        <w:t>0</w:t>
      </w:r>
      <w:r w:rsidR="002563D1" w:rsidRPr="00961CC5">
        <w:rPr>
          <w:rFonts w:eastAsia="Times New Roman" w:cstheme="minorHAnsi"/>
          <w:b/>
          <w:bCs/>
          <w:color w:val="000000"/>
          <w:kern w:val="0"/>
          <w:lang w:eastAsia="fr-FR"/>
          <w14:ligatures w14:val="none"/>
        </w:rPr>
        <w:t>1</w:t>
      </w:r>
      <w:r w:rsidRPr="00902E7E">
        <w:rPr>
          <w:rFonts w:eastAsia="Times New Roman" w:cstheme="minorHAnsi"/>
          <w:b/>
          <w:bCs/>
          <w:color w:val="000000"/>
          <w:kern w:val="0"/>
          <w:lang w:eastAsia="fr-FR"/>
          <w14:ligatures w14:val="none"/>
        </w:rPr>
        <w:t xml:space="preserve"> Français</w:t>
      </w:r>
      <w:r w:rsidRPr="00902E7E">
        <w:rPr>
          <w:rFonts w:eastAsia="Times New Roman" w:cstheme="minorHAnsi"/>
          <w:color w:val="000000"/>
          <w:kern w:val="0"/>
          <w:lang w:eastAsia="fr-FR"/>
          <w14:ligatures w14:val="none"/>
        </w:rPr>
        <w:t> apporte un éclairage inédit sur l’état de l’opinion publique. Cette étude, initiée cinq ans après une première investigation sur le sujet, met en lumière </w:t>
      </w:r>
      <w:r w:rsidRPr="00902E7E">
        <w:rPr>
          <w:rFonts w:eastAsia="Times New Roman" w:cstheme="minorHAnsi"/>
          <w:b/>
          <w:bCs/>
          <w:color w:val="000000"/>
          <w:kern w:val="0"/>
          <w:lang w:eastAsia="fr-FR"/>
          <w14:ligatures w14:val="none"/>
        </w:rPr>
        <w:t>l’évolution des perceptions</w:t>
      </w:r>
      <w:r w:rsidRPr="00902E7E">
        <w:rPr>
          <w:rFonts w:eastAsia="Times New Roman" w:cstheme="minorHAnsi"/>
          <w:color w:val="000000"/>
          <w:kern w:val="0"/>
          <w:lang w:eastAsia="fr-FR"/>
          <w14:ligatures w14:val="none"/>
        </w:rPr>
        <w:t>, les scénarios de financement jugés les plus acceptables, ainsi que les lignes de fracture au sein de la population.</w:t>
      </w:r>
    </w:p>
    <w:p w14:paraId="7F565A65" w14:textId="2899DDD6" w:rsidR="00902E7E" w:rsidRPr="001A6C44" w:rsidRDefault="00902E7E" w:rsidP="00902E7E">
      <w:pPr>
        <w:spacing w:before="100" w:beforeAutospacing="1" w:after="100" w:afterAutospacing="1"/>
        <w:outlineLvl w:val="2"/>
        <w:rPr>
          <w:rFonts w:eastAsia="Times New Roman" w:cstheme="minorHAnsi"/>
          <w:b/>
          <w:bCs/>
          <w:color w:val="002060"/>
          <w:kern w:val="0"/>
          <w:lang w:eastAsia="fr-FR"/>
          <w14:ligatures w14:val="none"/>
        </w:rPr>
      </w:pPr>
      <w:r w:rsidRPr="001A6C44">
        <w:rPr>
          <w:rFonts w:eastAsia="Times New Roman" w:cstheme="minorHAnsi"/>
          <w:b/>
          <w:bCs/>
          <w:color w:val="002060"/>
          <w:kern w:val="0"/>
          <w:lang w:eastAsia="fr-FR"/>
          <w14:ligatures w14:val="none"/>
        </w:rPr>
        <w:t>La dépendance, un risque reconnu</w:t>
      </w:r>
      <w:r w:rsidR="00D00564" w:rsidRPr="001A6C44">
        <w:rPr>
          <w:rFonts w:eastAsia="Times New Roman" w:cstheme="minorHAnsi"/>
          <w:b/>
          <w:bCs/>
          <w:color w:val="002060"/>
          <w:kern w:val="0"/>
          <w:lang w:eastAsia="fr-FR"/>
          <w14:ligatures w14:val="none"/>
        </w:rPr>
        <w:t xml:space="preserve">, </w:t>
      </w:r>
      <w:r w:rsidRPr="001A6C44">
        <w:rPr>
          <w:rFonts w:eastAsia="Times New Roman" w:cstheme="minorHAnsi"/>
          <w:b/>
          <w:bCs/>
          <w:color w:val="002060"/>
          <w:kern w:val="0"/>
          <w:lang w:eastAsia="fr-FR"/>
          <w14:ligatures w14:val="none"/>
        </w:rPr>
        <w:t>mais pas encore prioritaire</w:t>
      </w:r>
    </w:p>
    <w:p w14:paraId="2ED6DD49" w14:textId="7C93E03E" w:rsidR="00902E7E" w:rsidRPr="00902E7E" w:rsidRDefault="00902E7E" w:rsidP="00902E7E">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Si </w:t>
      </w:r>
      <w:r w:rsidRPr="00902E7E">
        <w:rPr>
          <w:rFonts w:eastAsia="Times New Roman" w:cstheme="minorHAnsi"/>
          <w:b/>
          <w:bCs/>
          <w:color w:val="000000"/>
          <w:kern w:val="0"/>
          <w:lang w:eastAsia="fr-FR"/>
          <w14:ligatures w14:val="none"/>
        </w:rPr>
        <w:t>près de 70 % des répondants</w:t>
      </w:r>
      <w:r w:rsidRPr="00902E7E">
        <w:rPr>
          <w:rFonts w:eastAsia="Times New Roman" w:cstheme="minorHAnsi"/>
          <w:color w:val="000000"/>
          <w:kern w:val="0"/>
          <w:lang w:eastAsia="fr-FR"/>
          <w14:ligatures w14:val="none"/>
        </w:rPr>
        <w:t> considèrent que la dépendance représente un risque majeur pour notre société, elle reste </w:t>
      </w:r>
      <w:r w:rsidRPr="00902E7E">
        <w:rPr>
          <w:rFonts w:eastAsia="Times New Roman" w:cstheme="minorHAnsi"/>
          <w:b/>
          <w:bCs/>
          <w:color w:val="000000"/>
          <w:kern w:val="0"/>
          <w:lang w:eastAsia="fr-FR"/>
          <w14:ligatures w14:val="none"/>
        </w:rPr>
        <w:t>reléguée derrière d’autres priorités budgétaires</w:t>
      </w:r>
      <w:r w:rsidR="00D00564">
        <w:rPr>
          <w:rFonts w:eastAsia="Times New Roman" w:cstheme="minorHAnsi"/>
          <w:color w:val="000000"/>
          <w:kern w:val="0"/>
          <w:lang w:eastAsia="fr-FR"/>
          <w14:ligatures w14:val="none"/>
        </w:rPr>
        <w:t>, </w:t>
      </w:r>
      <w:r w:rsidRPr="00902E7E">
        <w:rPr>
          <w:rFonts w:eastAsia="Times New Roman" w:cstheme="minorHAnsi"/>
          <w:color w:val="000000"/>
          <w:kern w:val="0"/>
          <w:lang w:eastAsia="fr-FR"/>
          <w14:ligatures w14:val="none"/>
        </w:rPr>
        <w:t>comme la santé, le pouvoir d’achat ou la défense. Ce paradoxe illustre un phénomène bien connu : </w:t>
      </w:r>
      <w:r w:rsidRPr="00902E7E">
        <w:rPr>
          <w:rFonts w:eastAsia="Times New Roman" w:cstheme="minorHAnsi"/>
          <w:b/>
          <w:bCs/>
          <w:color w:val="000000"/>
          <w:kern w:val="0"/>
          <w:lang w:eastAsia="fr-FR"/>
          <w14:ligatures w14:val="none"/>
        </w:rPr>
        <w:t>une prise de conscience diffuse</w:t>
      </w:r>
      <w:r w:rsidRPr="00902E7E">
        <w:rPr>
          <w:rFonts w:eastAsia="Times New Roman" w:cstheme="minorHAnsi"/>
          <w:color w:val="000000"/>
          <w:kern w:val="0"/>
          <w:lang w:eastAsia="fr-FR"/>
          <w14:ligatures w14:val="none"/>
        </w:rPr>
        <w:t>, mais </w:t>
      </w:r>
      <w:r w:rsidRPr="00902E7E">
        <w:rPr>
          <w:rFonts w:eastAsia="Times New Roman" w:cstheme="minorHAnsi"/>
          <w:b/>
          <w:bCs/>
          <w:color w:val="000000"/>
          <w:kern w:val="0"/>
          <w:lang w:eastAsia="fr-FR"/>
          <w14:ligatures w14:val="none"/>
        </w:rPr>
        <w:t>une mobilisation encore timide</w:t>
      </w:r>
      <w:r w:rsidRPr="00902E7E">
        <w:rPr>
          <w:rFonts w:eastAsia="Times New Roman" w:cstheme="minorHAnsi"/>
          <w:color w:val="000000"/>
          <w:kern w:val="0"/>
          <w:lang w:eastAsia="fr-FR"/>
          <w14:ligatures w14:val="none"/>
        </w:rPr>
        <w:t>.</w:t>
      </w:r>
    </w:p>
    <w:p w14:paraId="03F41875" w14:textId="500EB2E4" w:rsidR="00902E7E" w:rsidRPr="00902E7E" w:rsidRDefault="00902E7E" w:rsidP="00902E7E">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Le constat est sans appel : </w:t>
      </w:r>
      <w:r w:rsidRPr="00902E7E">
        <w:rPr>
          <w:rFonts w:eastAsia="Times New Roman" w:cstheme="minorHAnsi"/>
          <w:b/>
          <w:bCs/>
          <w:color w:val="000000"/>
          <w:kern w:val="0"/>
          <w:lang w:eastAsia="fr-FR"/>
          <w14:ligatures w14:val="none"/>
        </w:rPr>
        <w:t>72 % des Français</w:t>
      </w:r>
      <w:r w:rsidRPr="00902E7E">
        <w:rPr>
          <w:rFonts w:eastAsia="Times New Roman" w:cstheme="minorHAnsi"/>
          <w:color w:val="000000"/>
          <w:kern w:val="0"/>
          <w:lang w:eastAsia="fr-FR"/>
          <w14:ligatures w14:val="none"/>
        </w:rPr>
        <w:t> ne se sentent pas directement concernés, ni pour eux-mêmes ni pour leurs proches. Cette distance se traduit par</w:t>
      </w:r>
      <w:r w:rsidR="00FB0444">
        <w:rPr>
          <w:rFonts w:eastAsia="Times New Roman" w:cstheme="minorHAnsi"/>
          <w:color w:val="000000"/>
          <w:kern w:val="0"/>
          <w:lang w:eastAsia="fr-FR"/>
          <w14:ligatures w14:val="none"/>
        </w:rPr>
        <w:t xml:space="preserve"> </w:t>
      </w:r>
      <w:r w:rsidRPr="00902E7E">
        <w:rPr>
          <w:rFonts w:eastAsia="Times New Roman" w:cstheme="minorHAnsi"/>
          <w:color w:val="000000"/>
          <w:kern w:val="0"/>
          <w:lang w:eastAsia="fr-FR"/>
          <w14:ligatures w14:val="none"/>
        </w:rPr>
        <w:t>une </w:t>
      </w:r>
      <w:r w:rsidRPr="00902E7E">
        <w:rPr>
          <w:rFonts w:eastAsia="Times New Roman" w:cstheme="minorHAnsi"/>
          <w:b/>
          <w:bCs/>
          <w:color w:val="000000"/>
          <w:kern w:val="0"/>
          <w:lang w:eastAsia="fr-FR"/>
          <w14:ligatures w14:val="none"/>
        </w:rPr>
        <w:t>inertie individuelle</w:t>
      </w:r>
      <w:r w:rsidRPr="00902E7E">
        <w:rPr>
          <w:rFonts w:eastAsia="Times New Roman" w:cstheme="minorHAnsi"/>
          <w:color w:val="000000"/>
          <w:kern w:val="0"/>
          <w:lang w:eastAsia="fr-FR"/>
          <w14:ligatures w14:val="none"/>
        </w:rPr>
        <w:t> marquée : 8 personnes sur 10 n’ont pris aucune mesure d’anticipation (assurance dépendance, épargne dédiée, réflexion sur le logement). Ce déficit d’action s’explique en grande partie par un </w:t>
      </w:r>
      <w:r w:rsidRPr="00902E7E">
        <w:rPr>
          <w:rFonts w:eastAsia="Times New Roman" w:cstheme="minorHAnsi"/>
          <w:b/>
          <w:bCs/>
          <w:color w:val="000000"/>
          <w:kern w:val="0"/>
          <w:lang w:eastAsia="fr-FR"/>
          <w14:ligatures w14:val="none"/>
        </w:rPr>
        <w:t>manque d’information</w:t>
      </w:r>
      <w:r w:rsidRPr="00902E7E">
        <w:rPr>
          <w:rFonts w:eastAsia="Times New Roman" w:cstheme="minorHAnsi"/>
          <w:color w:val="000000"/>
          <w:kern w:val="0"/>
          <w:lang w:eastAsia="fr-FR"/>
          <w14:ligatures w14:val="none"/>
        </w:rPr>
        <w:t> : </w:t>
      </w:r>
      <w:r w:rsidRPr="00902E7E">
        <w:rPr>
          <w:rFonts w:eastAsia="Times New Roman" w:cstheme="minorHAnsi"/>
          <w:b/>
          <w:bCs/>
          <w:color w:val="000000"/>
          <w:kern w:val="0"/>
          <w:lang w:eastAsia="fr-FR"/>
          <w14:ligatures w14:val="none"/>
        </w:rPr>
        <w:t>71 % des personnes interrogées</w:t>
      </w:r>
      <w:r w:rsidRPr="00902E7E">
        <w:rPr>
          <w:rFonts w:eastAsia="Times New Roman" w:cstheme="minorHAnsi"/>
          <w:color w:val="000000"/>
          <w:kern w:val="0"/>
          <w:lang w:eastAsia="fr-FR"/>
          <w14:ligatures w14:val="none"/>
        </w:rPr>
        <w:t> estiment être mal informées sur les solutions existantes, tant collectives qu’individuelles.</w:t>
      </w:r>
    </w:p>
    <w:p w14:paraId="465AF94D" w14:textId="77777777" w:rsidR="00902E7E" w:rsidRDefault="00902E7E" w:rsidP="00902E7E">
      <w:pPr>
        <w:spacing w:before="100" w:beforeAutospacing="1" w:after="100" w:afterAutospacing="1"/>
        <w:outlineLvl w:val="2"/>
        <w:rPr>
          <w:rFonts w:eastAsia="Times New Roman" w:cstheme="minorHAnsi"/>
          <w:b/>
          <w:bCs/>
          <w:color w:val="000000"/>
          <w:kern w:val="0"/>
          <w:sz w:val="27"/>
          <w:szCs w:val="27"/>
          <w:lang w:eastAsia="fr-FR"/>
          <w14:ligatures w14:val="none"/>
        </w:rPr>
      </w:pPr>
    </w:p>
    <w:p w14:paraId="2B1ACCAD" w14:textId="77777777" w:rsidR="00902E7E" w:rsidRPr="001A6C44" w:rsidRDefault="00902E7E" w:rsidP="00902E7E">
      <w:pPr>
        <w:spacing w:before="100" w:beforeAutospacing="1" w:after="100" w:afterAutospacing="1"/>
        <w:outlineLvl w:val="2"/>
        <w:rPr>
          <w:rFonts w:eastAsia="Times New Roman" w:cstheme="minorHAnsi"/>
          <w:b/>
          <w:bCs/>
          <w:color w:val="002060"/>
          <w:kern w:val="0"/>
          <w:lang w:eastAsia="fr-FR"/>
          <w14:ligatures w14:val="none"/>
        </w:rPr>
      </w:pPr>
      <w:r w:rsidRPr="001A6C44">
        <w:rPr>
          <w:rFonts w:eastAsia="Times New Roman" w:cstheme="minorHAnsi"/>
          <w:b/>
          <w:bCs/>
          <w:color w:val="002060"/>
          <w:kern w:val="0"/>
          <w:lang w:eastAsia="fr-FR"/>
          <w14:ligatures w14:val="none"/>
        </w:rPr>
        <w:lastRenderedPageBreak/>
        <w:t>Un rejet marqué de la hausse des impôts comme levier de financement</w:t>
      </w:r>
    </w:p>
    <w:p w14:paraId="3E2ACA30" w14:textId="77777777"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Quatre scénarios de financement ont été testés afin de mieux cerner les préférences des citoyens. Résultat : l’idée d’un </w:t>
      </w:r>
      <w:r w:rsidRPr="00902E7E">
        <w:rPr>
          <w:rFonts w:eastAsia="Times New Roman" w:cstheme="minorHAnsi"/>
          <w:b/>
          <w:bCs/>
          <w:color w:val="000000"/>
          <w:kern w:val="0"/>
          <w:lang w:eastAsia="fr-FR"/>
          <w14:ligatures w14:val="none"/>
        </w:rPr>
        <w:t>maintien du niveau actuel de prise en charge financé par une hausse généralisée des impôts et cotisations</w:t>
      </w:r>
      <w:r w:rsidRPr="00902E7E">
        <w:rPr>
          <w:rFonts w:eastAsia="Times New Roman" w:cstheme="minorHAnsi"/>
          <w:color w:val="000000"/>
          <w:kern w:val="0"/>
          <w:lang w:eastAsia="fr-FR"/>
          <w14:ligatures w14:val="none"/>
        </w:rPr>
        <w:t> est clairement </w:t>
      </w:r>
      <w:r w:rsidRPr="00902E7E">
        <w:rPr>
          <w:rFonts w:eastAsia="Times New Roman" w:cstheme="minorHAnsi"/>
          <w:b/>
          <w:bCs/>
          <w:color w:val="000000"/>
          <w:kern w:val="0"/>
          <w:lang w:eastAsia="fr-FR"/>
          <w14:ligatures w14:val="none"/>
        </w:rPr>
        <w:t>rejetée</w:t>
      </w:r>
      <w:r w:rsidRPr="00902E7E">
        <w:rPr>
          <w:rFonts w:eastAsia="Times New Roman" w:cstheme="minorHAnsi"/>
          <w:color w:val="000000"/>
          <w:kern w:val="0"/>
          <w:lang w:eastAsia="fr-FR"/>
          <w14:ligatures w14:val="none"/>
        </w:rPr>
        <w:t> (moins d’un tiers y adhèrent, même en deuxième intention).</w:t>
      </w:r>
    </w:p>
    <w:p w14:paraId="0A9B55E7" w14:textId="77777777"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À l’inverse, les Français privilégient :</w:t>
      </w:r>
    </w:p>
    <w:p w14:paraId="043B36D2" w14:textId="77777777" w:rsidR="00902E7E" w:rsidRPr="00902E7E" w:rsidRDefault="00902E7E" w:rsidP="00FB0444">
      <w:pPr>
        <w:numPr>
          <w:ilvl w:val="0"/>
          <w:numId w:val="1"/>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Le redéploiement des dépenses publiques</w:t>
      </w:r>
      <w:r w:rsidRPr="00902E7E">
        <w:rPr>
          <w:rFonts w:eastAsia="Times New Roman" w:cstheme="minorHAnsi"/>
          <w:color w:val="000000"/>
          <w:kern w:val="0"/>
          <w:lang w:eastAsia="fr-FR"/>
          <w14:ligatures w14:val="none"/>
        </w:rPr>
        <w:t> existantes vers la dépendance (34 % en premier choix, 59 % en second),</w:t>
      </w:r>
    </w:p>
    <w:p w14:paraId="6EB2B6BB" w14:textId="77777777" w:rsidR="00902E7E" w:rsidRPr="00902E7E" w:rsidRDefault="00902E7E" w:rsidP="00FB0444">
      <w:pPr>
        <w:numPr>
          <w:ilvl w:val="0"/>
          <w:numId w:val="1"/>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Un renforcement de la participation individuelle</w:t>
      </w:r>
      <w:r w:rsidRPr="00902E7E">
        <w:rPr>
          <w:rFonts w:eastAsia="Times New Roman" w:cstheme="minorHAnsi"/>
          <w:color w:val="000000"/>
          <w:kern w:val="0"/>
          <w:lang w:eastAsia="fr-FR"/>
          <w14:ligatures w14:val="none"/>
        </w:rPr>
        <w:t>, ciblée sur les capacités contributives (30 % en premier choix, 58 % en second),</w:t>
      </w:r>
    </w:p>
    <w:p w14:paraId="591916B9" w14:textId="77777777" w:rsidR="00902E7E" w:rsidRPr="00902E7E" w:rsidRDefault="00902E7E" w:rsidP="00FB0444">
      <w:pPr>
        <w:numPr>
          <w:ilvl w:val="0"/>
          <w:numId w:val="1"/>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Et dans une moindre mesure, </w:t>
      </w:r>
      <w:r w:rsidRPr="00902E7E">
        <w:rPr>
          <w:rFonts w:eastAsia="Times New Roman" w:cstheme="minorHAnsi"/>
          <w:b/>
          <w:bCs/>
          <w:color w:val="000000"/>
          <w:kern w:val="0"/>
          <w:lang w:eastAsia="fr-FR"/>
          <w14:ligatures w14:val="none"/>
        </w:rPr>
        <w:t>une réduction du niveau de couverture</w:t>
      </w:r>
      <w:r w:rsidRPr="00902E7E">
        <w:rPr>
          <w:rFonts w:eastAsia="Times New Roman" w:cstheme="minorHAnsi"/>
          <w:color w:val="000000"/>
          <w:kern w:val="0"/>
          <w:lang w:eastAsia="fr-FR"/>
          <w14:ligatures w14:val="none"/>
        </w:rPr>
        <w:t>, qui reste envisageable pour </w:t>
      </w:r>
      <w:r w:rsidRPr="00902E7E">
        <w:rPr>
          <w:rFonts w:eastAsia="Times New Roman" w:cstheme="minorHAnsi"/>
          <w:b/>
          <w:bCs/>
          <w:color w:val="000000"/>
          <w:kern w:val="0"/>
          <w:lang w:eastAsia="fr-FR"/>
          <w14:ligatures w14:val="none"/>
        </w:rPr>
        <w:t>21 % en première intention</w:t>
      </w:r>
      <w:r w:rsidRPr="00902E7E">
        <w:rPr>
          <w:rFonts w:eastAsia="Times New Roman" w:cstheme="minorHAnsi"/>
          <w:color w:val="000000"/>
          <w:kern w:val="0"/>
          <w:lang w:eastAsia="fr-FR"/>
          <w14:ligatures w14:val="none"/>
        </w:rPr>
        <w:t> (et 52 % en seconde).</w:t>
      </w:r>
    </w:p>
    <w:p w14:paraId="32899B8A" w14:textId="77777777"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Ce consensus relatif autour de l’optimisation des moyens existants traduit une </w:t>
      </w:r>
      <w:r w:rsidRPr="00902E7E">
        <w:rPr>
          <w:rFonts w:eastAsia="Times New Roman" w:cstheme="minorHAnsi"/>
          <w:b/>
          <w:bCs/>
          <w:color w:val="000000"/>
          <w:kern w:val="0"/>
          <w:lang w:eastAsia="fr-FR"/>
          <w14:ligatures w14:val="none"/>
        </w:rPr>
        <w:t>attente forte de justice sociale sans pression fiscale accrue</w:t>
      </w:r>
      <w:r w:rsidRPr="00902E7E">
        <w:rPr>
          <w:rFonts w:eastAsia="Times New Roman" w:cstheme="minorHAnsi"/>
          <w:color w:val="000000"/>
          <w:kern w:val="0"/>
          <w:lang w:eastAsia="fr-FR"/>
          <w14:ligatures w14:val="none"/>
        </w:rPr>
        <w:t>.</w:t>
      </w:r>
    </w:p>
    <w:p w14:paraId="6420B8EC" w14:textId="77777777" w:rsidR="00902E7E" w:rsidRPr="001A6C44" w:rsidRDefault="00902E7E" w:rsidP="00902E7E">
      <w:pPr>
        <w:spacing w:before="100" w:beforeAutospacing="1" w:after="100" w:afterAutospacing="1"/>
        <w:outlineLvl w:val="2"/>
        <w:rPr>
          <w:rFonts w:eastAsia="Times New Roman" w:cstheme="minorHAnsi"/>
          <w:b/>
          <w:bCs/>
          <w:color w:val="002060"/>
          <w:kern w:val="0"/>
          <w:lang w:eastAsia="fr-FR"/>
          <w14:ligatures w14:val="none"/>
        </w:rPr>
      </w:pPr>
      <w:r w:rsidRPr="001A6C44">
        <w:rPr>
          <w:rFonts w:eastAsia="Times New Roman" w:cstheme="minorHAnsi"/>
          <w:b/>
          <w:bCs/>
          <w:color w:val="002060"/>
          <w:kern w:val="0"/>
          <w:lang w:eastAsia="fr-FR"/>
          <w14:ligatures w14:val="none"/>
        </w:rPr>
        <w:t>Trois mesures sortent du lot : des îlots de consensus</w:t>
      </w:r>
    </w:p>
    <w:p w14:paraId="566333FD" w14:textId="77777777"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Certaines propositions suscitent un </w:t>
      </w:r>
      <w:r w:rsidRPr="00902E7E">
        <w:rPr>
          <w:rFonts w:eastAsia="Times New Roman" w:cstheme="minorHAnsi"/>
          <w:b/>
          <w:bCs/>
          <w:color w:val="000000"/>
          <w:kern w:val="0"/>
          <w:lang w:eastAsia="fr-FR"/>
          <w14:ligatures w14:val="none"/>
        </w:rPr>
        <w:t>large soutien</w:t>
      </w:r>
      <w:r w:rsidRPr="00902E7E">
        <w:rPr>
          <w:rFonts w:eastAsia="Times New Roman" w:cstheme="minorHAnsi"/>
          <w:color w:val="000000"/>
          <w:kern w:val="0"/>
          <w:lang w:eastAsia="fr-FR"/>
          <w14:ligatures w14:val="none"/>
        </w:rPr>
        <w:t> dans la population, combinant acceptabilité forte et faible rejet :</w:t>
      </w:r>
    </w:p>
    <w:p w14:paraId="36CE4D39" w14:textId="0C84BEAA" w:rsidR="00902E7E" w:rsidRPr="00902E7E" w:rsidRDefault="00902E7E" w:rsidP="00FB0444">
      <w:pPr>
        <w:numPr>
          <w:ilvl w:val="0"/>
          <w:numId w:val="2"/>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 xml:space="preserve">Affecter 1 % du budget </w:t>
      </w:r>
      <w:r w:rsidR="00F33FDA">
        <w:rPr>
          <w:rFonts w:eastAsia="Times New Roman" w:cstheme="minorHAnsi"/>
          <w:b/>
          <w:bCs/>
          <w:color w:val="000000"/>
          <w:kern w:val="0"/>
          <w:lang w:eastAsia="fr-FR"/>
          <w14:ligatures w14:val="none"/>
        </w:rPr>
        <w:t xml:space="preserve">de chaque ministère </w:t>
      </w:r>
      <w:r w:rsidRPr="00902E7E">
        <w:rPr>
          <w:rFonts w:eastAsia="Times New Roman" w:cstheme="minorHAnsi"/>
          <w:b/>
          <w:bCs/>
          <w:color w:val="000000"/>
          <w:kern w:val="0"/>
          <w:lang w:eastAsia="fr-FR"/>
          <w14:ligatures w14:val="none"/>
        </w:rPr>
        <w:t>au vieillissement</w:t>
      </w:r>
      <w:r w:rsidR="00F33FDA">
        <w:rPr>
          <w:rFonts w:eastAsia="Times New Roman" w:cstheme="minorHAnsi"/>
          <w:b/>
          <w:bCs/>
          <w:color w:val="000000"/>
          <w:kern w:val="0"/>
          <w:lang w:eastAsia="fr-FR"/>
          <w14:ligatures w14:val="none"/>
        </w:rPr>
        <w:t xml:space="preserve"> de la population</w:t>
      </w:r>
      <w:r w:rsidRPr="00902E7E">
        <w:rPr>
          <w:rFonts w:eastAsia="Times New Roman" w:cstheme="minorHAnsi"/>
          <w:color w:val="000000"/>
          <w:kern w:val="0"/>
          <w:lang w:eastAsia="fr-FR"/>
          <w14:ligatures w14:val="none"/>
        </w:rPr>
        <w:t> (score net +20), perçu comme un effort symbolique fort sans création de nouveaux impôts.</w:t>
      </w:r>
    </w:p>
    <w:p w14:paraId="23755528" w14:textId="77777777" w:rsidR="00902E7E" w:rsidRPr="00902E7E" w:rsidRDefault="00902E7E" w:rsidP="00FB0444">
      <w:pPr>
        <w:numPr>
          <w:ilvl w:val="0"/>
          <w:numId w:val="2"/>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Mettre en place un prélèvement ciblé sur certaines catégories</w:t>
      </w:r>
      <w:r w:rsidRPr="00902E7E">
        <w:rPr>
          <w:rFonts w:eastAsia="Times New Roman" w:cstheme="minorHAnsi"/>
          <w:color w:val="000000"/>
          <w:kern w:val="0"/>
          <w:lang w:eastAsia="fr-FR"/>
          <w14:ligatures w14:val="none"/>
        </w:rPr>
        <w:t xml:space="preserve"> (revenus élevés, entreprises polluantes…) (+17), articulant </w:t>
      </w:r>
      <w:proofErr w:type="gramStart"/>
      <w:r w:rsidRPr="00902E7E">
        <w:rPr>
          <w:rFonts w:eastAsia="Times New Roman" w:cstheme="minorHAnsi"/>
          <w:color w:val="000000"/>
          <w:kern w:val="0"/>
          <w:lang w:eastAsia="fr-FR"/>
          <w14:ligatures w14:val="none"/>
        </w:rPr>
        <w:t>équité</w:t>
      </w:r>
      <w:proofErr w:type="gramEnd"/>
      <w:r w:rsidRPr="00902E7E">
        <w:rPr>
          <w:rFonts w:eastAsia="Times New Roman" w:cstheme="minorHAnsi"/>
          <w:color w:val="000000"/>
          <w:kern w:val="0"/>
          <w:lang w:eastAsia="fr-FR"/>
          <w14:ligatures w14:val="none"/>
        </w:rPr>
        <w:t xml:space="preserve"> et responsabilisation.</w:t>
      </w:r>
    </w:p>
    <w:p w14:paraId="6750A403" w14:textId="77777777" w:rsidR="00902E7E" w:rsidRPr="00902E7E" w:rsidRDefault="00902E7E" w:rsidP="00FB0444">
      <w:pPr>
        <w:numPr>
          <w:ilvl w:val="0"/>
          <w:numId w:val="2"/>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Garantir un "panier moyen" de prise en charge modulable</w:t>
      </w:r>
      <w:r w:rsidRPr="00902E7E">
        <w:rPr>
          <w:rFonts w:eastAsia="Times New Roman" w:cstheme="minorHAnsi"/>
          <w:color w:val="000000"/>
          <w:kern w:val="0"/>
          <w:lang w:eastAsia="fr-FR"/>
          <w14:ligatures w14:val="none"/>
        </w:rPr>
        <w:t> (+7), assurant un socle commun à tous avec des options personnalisables.</w:t>
      </w:r>
    </w:p>
    <w:p w14:paraId="1BB1080B" w14:textId="77777777" w:rsidR="00902E7E" w:rsidRPr="00902E7E" w:rsidRDefault="00902E7E" w:rsidP="00902E7E">
      <w:pPr>
        <w:spacing w:before="100" w:beforeAutospacing="1" w:after="100" w:afterAutospacing="1"/>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Ces mesures illustrent la recherche d’un </w:t>
      </w:r>
      <w:r w:rsidRPr="00902E7E">
        <w:rPr>
          <w:rFonts w:eastAsia="Times New Roman" w:cstheme="minorHAnsi"/>
          <w:b/>
          <w:bCs/>
          <w:color w:val="000000"/>
          <w:kern w:val="0"/>
          <w:lang w:eastAsia="fr-FR"/>
          <w14:ligatures w14:val="none"/>
        </w:rPr>
        <w:t>équilibre entre solidarité, soutenabilité financière et lisibilité des dispositifs</w:t>
      </w:r>
      <w:r w:rsidRPr="00902E7E">
        <w:rPr>
          <w:rFonts w:eastAsia="Times New Roman" w:cstheme="minorHAnsi"/>
          <w:color w:val="000000"/>
          <w:kern w:val="0"/>
          <w:lang w:eastAsia="fr-FR"/>
          <w14:ligatures w14:val="none"/>
        </w:rPr>
        <w:t>.</w:t>
      </w:r>
    </w:p>
    <w:p w14:paraId="718E589F" w14:textId="77777777" w:rsidR="00902E7E" w:rsidRPr="001A6C44" w:rsidRDefault="00902E7E" w:rsidP="00902E7E">
      <w:pPr>
        <w:spacing w:before="100" w:beforeAutospacing="1" w:after="100" w:afterAutospacing="1"/>
        <w:outlineLvl w:val="2"/>
        <w:rPr>
          <w:rFonts w:eastAsia="Times New Roman" w:cstheme="minorHAnsi"/>
          <w:b/>
          <w:bCs/>
          <w:color w:val="002060"/>
          <w:kern w:val="0"/>
          <w:lang w:eastAsia="fr-FR"/>
          <w14:ligatures w14:val="none"/>
        </w:rPr>
      </w:pPr>
      <w:r w:rsidRPr="001A6C44">
        <w:rPr>
          <w:rFonts w:eastAsia="Times New Roman" w:cstheme="minorHAnsi"/>
          <w:b/>
          <w:bCs/>
          <w:color w:val="002060"/>
          <w:kern w:val="0"/>
          <w:lang w:eastAsia="fr-FR"/>
          <w14:ligatures w14:val="none"/>
        </w:rPr>
        <w:t>Un sujet qui divise selon l’âge</w:t>
      </w:r>
      <w:r w:rsidR="00FB0444" w:rsidRPr="001A6C44">
        <w:rPr>
          <w:rFonts w:eastAsia="Times New Roman" w:cstheme="minorHAnsi"/>
          <w:b/>
          <w:bCs/>
          <w:color w:val="002060"/>
          <w:kern w:val="0"/>
          <w:lang w:eastAsia="fr-FR"/>
          <w14:ligatures w14:val="none"/>
        </w:rPr>
        <w:t xml:space="preserve"> et </w:t>
      </w:r>
      <w:r w:rsidRPr="001A6C44">
        <w:rPr>
          <w:rFonts w:eastAsia="Times New Roman" w:cstheme="minorHAnsi"/>
          <w:b/>
          <w:bCs/>
          <w:color w:val="002060"/>
          <w:kern w:val="0"/>
          <w:lang w:eastAsia="fr-FR"/>
          <w14:ligatures w14:val="none"/>
        </w:rPr>
        <w:t xml:space="preserve">le genre </w:t>
      </w:r>
    </w:p>
    <w:p w14:paraId="7CEAC8AA" w14:textId="77777777"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L’analyse sociologique de l’étude fait apparaître </w:t>
      </w:r>
      <w:r w:rsidRPr="00902E7E">
        <w:rPr>
          <w:rFonts w:eastAsia="Times New Roman" w:cstheme="minorHAnsi"/>
          <w:b/>
          <w:bCs/>
          <w:color w:val="000000"/>
          <w:kern w:val="0"/>
          <w:lang w:eastAsia="fr-FR"/>
          <w14:ligatures w14:val="none"/>
        </w:rPr>
        <w:t>quatre grands profils d’opinion</w:t>
      </w:r>
      <w:r w:rsidRPr="00902E7E">
        <w:rPr>
          <w:rFonts w:eastAsia="Times New Roman" w:cstheme="minorHAnsi"/>
          <w:color w:val="000000"/>
          <w:kern w:val="0"/>
          <w:lang w:eastAsia="fr-FR"/>
          <w14:ligatures w14:val="none"/>
        </w:rPr>
        <w:t> :</w:t>
      </w:r>
    </w:p>
    <w:p w14:paraId="56211A2B" w14:textId="77777777" w:rsidR="00902E7E" w:rsidRPr="00902E7E" w:rsidRDefault="00902E7E" w:rsidP="00FB0444">
      <w:pPr>
        <w:numPr>
          <w:ilvl w:val="0"/>
          <w:numId w:val="3"/>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Les résilients</w:t>
      </w:r>
      <w:r w:rsidRPr="00902E7E">
        <w:rPr>
          <w:rFonts w:eastAsia="Times New Roman" w:cstheme="minorHAnsi"/>
          <w:color w:val="000000"/>
          <w:kern w:val="0"/>
          <w:lang w:eastAsia="fr-FR"/>
          <w14:ligatures w14:val="none"/>
        </w:rPr>
        <w:t> (41 %), convaincus que des efforts immédiats sont nécessaires pour éviter une crise.</w:t>
      </w:r>
    </w:p>
    <w:p w14:paraId="4EF5B990" w14:textId="77777777" w:rsidR="00902E7E" w:rsidRPr="00902E7E" w:rsidRDefault="00902E7E" w:rsidP="00FB0444">
      <w:pPr>
        <w:numPr>
          <w:ilvl w:val="0"/>
          <w:numId w:val="3"/>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 xml:space="preserve">Les </w:t>
      </w:r>
      <w:proofErr w:type="spellStart"/>
      <w:r w:rsidRPr="00902E7E">
        <w:rPr>
          <w:rFonts w:eastAsia="Times New Roman" w:cstheme="minorHAnsi"/>
          <w:b/>
          <w:bCs/>
          <w:color w:val="000000"/>
          <w:kern w:val="0"/>
          <w:lang w:eastAsia="fr-FR"/>
          <w14:ligatures w14:val="none"/>
        </w:rPr>
        <w:t>shifters</w:t>
      </w:r>
      <w:proofErr w:type="spellEnd"/>
      <w:r w:rsidRPr="00902E7E">
        <w:rPr>
          <w:rFonts w:eastAsia="Times New Roman" w:cstheme="minorHAnsi"/>
          <w:color w:val="000000"/>
          <w:kern w:val="0"/>
          <w:lang w:eastAsia="fr-FR"/>
          <w14:ligatures w14:val="none"/>
        </w:rPr>
        <w:t> (32 %), attentifs aux décisions politiques à venir pour se positionner.</w:t>
      </w:r>
    </w:p>
    <w:p w14:paraId="43DCB044" w14:textId="77777777" w:rsidR="00902E7E" w:rsidRPr="00902E7E" w:rsidRDefault="00902E7E" w:rsidP="00FB0444">
      <w:pPr>
        <w:numPr>
          <w:ilvl w:val="0"/>
          <w:numId w:val="3"/>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 xml:space="preserve">Les </w:t>
      </w:r>
      <w:proofErr w:type="spellStart"/>
      <w:r w:rsidRPr="00902E7E">
        <w:rPr>
          <w:rFonts w:eastAsia="Times New Roman" w:cstheme="minorHAnsi"/>
          <w:b/>
          <w:bCs/>
          <w:color w:val="000000"/>
          <w:kern w:val="0"/>
          <w:lang w:eastAsia="fr-FR"/>
          <w14:ligatures w14:val="none"/>
        </w:rPr>
        <w:t>cornucopiens</w:t>
      </w:r>
      <w:proofErr w:type="spellEnd"/>
      <w:r w:rsidRPr="00902E7E">
        <w:rPr>
          <w:rFonts w:eastAsia="Times New Roman" w:cstheme="minorHAnsi"/>
          <w:color w:val="000000"/>
          <w:kern w:val="0"/>
          <w:lang w:eastAsia="fr-FR"/>
          <w14:ligatures w14:val="none"/>
        </w:rPr>
        <w:t> (16 %), confiants dans l’innovation pour résoudre la crise sans réforme profonde.</w:t>
      </w:r>
    </w:p>
    <w:p w14:paraId="0462EA36" w14:textId="77777777" w:rsidR="00902E7E" w:rsidRPr="00902E7E" w:rsidRDefault="00902E7E" w:rsidP="00FB0444">
      <w:pPr>
        <w:numPr>
          <w:ilvl w:val="0"/>
          <w:numId w:val="3"/>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Les désengagés</w:t>
      </w:r>
      <w:r w:rsidRPr="00902E7E">
        <w:rPr>
          <w:rFonts w:eastAsia="Times New Roman" w:cstheme="minorHAnsi"/>
          <w:color w:val="000000"/>
          <w:kern w:val="0"/>
          <w:lang w:eastAsia="fr-FR"/>
          <w14:ligatures w14:val="none"/>
        </w:rPr>
        <w:t> (non mobilisés), peu sensibles à l’urgence du sujet.</w:t>
      </w:r>
    </w:p>
    <w:p w14:paraId="61BFD45C" w14:textId="77777777"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Les préférences varient aussi selon les </w:t>
      </w:r>
      <w:r w:rsidRPr="00902E7E">
        <w:rPr>
          <w:rFonts w:eastAsia="Times New Roman" w:cstheme="minorHAnsi"/>
          <w:b/>
          <w:bCs/>
          <w:color w:val="000000"/>
          <w:kern w:val="0"/>
          <w:lang w:eastAsia="fr-FR"/>
          <w14:ligatures w14:val="none"/>
        </w:rPr>
        <w:t>caractéristiques sociodémographiques</w:t>
      </w:r>
      <w:r w:rsidRPr="00902E7E">
        <w:rPr>
          <w:rFonts w:eastAsia="Times New Roman" w:cstheme="minorHAnsi"/>
          <w:color w:val="000000"/>
          <w:kern w:val="0"/>
          <w:lang w:eastAsia="fr-FR"/>
          <w14:ligatures w14:val="none"/>
        </w:rPr>
        <w:t> :</w:t>
      </w:r>
    </w:p>
    <w:p w14:paraId="1742B6D9" w14:textId="77777777" w:rsidR="00902E7E" w:rsidRPr="00902E7E" w:rsidRDefault="00902E7E" w:rsidP="00FB0444">
      <w:pPr>
        <w:numPr>
          <w:ilvl w:val="0"/>
          <w:numId w:val="4"/>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lastRenderedPageBreak/>
        <w:t>Les femmes</w:t>
      </w:r>
      <w:r w:rsidRPr="00902E7E">
        <w:rPr>
          <w:rFonts w:eastAsia="Times New Roman" w:cstheme="minorHAnsi"/>
          <w:color w:val="000000"/>
          <w:kern w:val="0"/>
          <w:lang w:eastAsia="fr-FR"/>
          <w14:ligatures w14:val="none"/>
        </w:rPr>
        <w:t>, plus attachées à l’équité intergénérationnelle, soutiennent le redéploiement budgétaire et s’opposent aux baisses de couverture.</w:t>
      </w:r>
    </w:p>
    <w:p w14:paraId="756D6C1C" w14:textId="77777777" w:rsidR="00902E7E" w:rsidRPr="00902E7E" w:rsidRDefault="00902E7E" w:rsidP="00FB0444">
      <w:pPr>
        <w:numPr>
          <w:ilvl w:val="0"/>
          <w:numId w:val="4"/>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Les hommes</w:t>
      </w:r>
      <w:r w:rsidRPr="00902E7E">
        <w:rPr>
          <w:rFonts w:eastAsia="Times New Roman" w:cstheme="minorHAnsi"/>
          <w:color w:val="000000"/>
          <w:kern w:val="0"/>
          <w:lang w:eastAsia="fr-FR"/>
          <w14:ligatures w14:val="none"/>
        </w:rPr>
        <w:t> privilégient les mécanismes de responsabilisation individuelle.</w:t>
      </w:r>
    </w:p>
    <w:p w14:paraId="01D960BE" w14:textId="77777777" w:rsidR="00902E7E" w:rsidRPr="00902E7E" w:rsidRDefault="00902E7E" w:rsidP="00FB0444">
      <w:pPr>
        <w:numPr>
          <w:ilvl w:val="0"/>
          <w:numId w:val="4"/>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Les 25–34 ans</w:t>
      </w:r>
      <w:r w:rsidRPr="00902E7E">
        <w:rPr>
          <w:rFonts w:eastAsia="Times New Roman" w:cstheme="minorHAnsi"/>
          <w:color w:val="000000"/>
          <w:kern w:val="0"/>
          <w:lang w:eastAsia="fr-FR"/>
          <w14:ligatures w14:val="none"/>
        </w:rPr>
        <w:t>, moins hostiles à l’innovation et à la hausse des contributions, mais peu favorables à une modulation de la couverture selon les moyens.</w:t>
      </w:r>
    </w:p>
    <w:p w14:paraId="0B61022A" w14:textId="77777777" w:rsidR="00902E7E" w:rsidRPr="00902E7E" w:rsidRDefault="00902E7E" w:rsidP="00FB0444">
      <w:pPr>
        <w:numPr>
          <w:ilvl w:val="0"/>
          <w:numId w:val="4"/>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Les 60 ans et plus</w:t>
      </w:r>
      <w:r w:rsidRPr="00902E7E">
        <w:rPr>
          <w:rFonts w:eastAsia="Times New Roman" w:cstheme="minorHAnsi"/>
          <w:color w:val="000000"/>
          <w:kern w:val="0"/>
          <w:lang w:eastAsia="fr-FR"/>
          <w14:ligatures w14:val="none"/>
        </w:rPr>
        <w:t> défendent un système solidaire et sanctuarisent les budgets santé et éducation.</w:t>
      </w:r>
    </w:p>
    <w:p w14:paraId="239CAE06" w14:textId="77777777" w:rsidR="00902E7E" w:rsidRPr="001A6C44" w:rsidRDefault="00902E7E" w:rsidP="00902E7E">
      <w:pPr>
        <w:spacing w:before="100" w:beforeAutospacing="1" w:after="100" w:afterAutospacing="1"/>
        <w:outlineLvl w:val="2"/>
        <w:rPr>
          <w:rFonts w:eastAsia="Times New Roman" w:cstheme="minorHAnsi"/>
          <w:b/>
          <w:bCs/>
          <w:color w:val="002060"/>
          <w:kern w:val="0"/>
          <w:lang w:eastAsia="fr-FR"/>
          <w14:ligatures w14:val="none"/>
        </w:rPr>
      </w:pPr>
      <w:r w:rsidRPr="001A6C44">
        <w:rPr>
          <w:rFonts w:eastAsia="Times New Roman" w:cstheme="minorHAnsi"/>
          <w:b/>
          <w:bCs/>
          <w:color w:val="002060"/>
          <w:kern w:val="0"/>
          <w:lang w:eastAsia="fr-FR"/>
          <w14:ligatures w14:val="none"/>
        </w:rPr>
        <w:t>Recommandations : pour un financement durable et accepté par tous</w:t>
      </w:r>
    </w:p>
    <w:p w14:paraId="4CCCDF75" w14:textId="0246E77B" w:rsidR="00902E7E" w:rsidRPr="00902E7E"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L’étude débouche sur </w:t>
      </w:r>
      <w:r w:rsidR="00507A4C">
        <w:rPr>
          <w:rFonts w:eastAsia="Times New Roman" w:cstheme="minorHAnsi"/>
          <w:b/>
          <w:bCs/>
          <w:color w:val="000000"/>
          <w:kern w:val="0"/>
          <w:lang w:eastAsia="fr-FR"/>
          <w14:ligatures w14:val="none"/>
        </w:rPr>
        <w:t>cinq</w:t>
      </w:r>
      <w:r w:rsidRPr="00902E7E">
        <w:rPr>
          <w:rFonts w:eastAsia="Times New Roman" w:cstheme="minorHAnsi"/>
          <w:b/>
          <w:bCs/>
          <w:color w:val="000000"/>
          <w:kern w:val="0"/>
          <w:lang w:eastAsia="fr-FR"/>
          <w14:ligatures w14:val="none"/>
        </w:rPr>
        <w:t xml:space="preserve"> recommandations opérationnelles</w:t>
      </w:r>
      <w:r w:rsidRPr="00902E7E">
        <w:rPr>
          <w:rFonts w:eastAsia="Times New Roman" w:cstheme="minorHAnsi"/>
          <w:color w:val="000000"/>
          <w:kern w:val="0"/>
          <w:lang w:eastAsia="fr-FR"/>
          <w14:ligatures w14:val="none"/>
        </w:rPr>
        <w:t> :</w:t>
      </w:r>
    </w:p>
    <w:p w14:paraId="6AA55A70" w14:textId="77777777" w:rsidR="00902E7E" w:rsidRPr="00902E7E" w:rsidRDefault="00902E7E" w:rsidP="00FB0444">
      <w:pPr>
        <w:numPr>
          <w:ilvl w:val="0"/>
          <w:numId w:val="5"/>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Prioriser les mesures les plus consensuelles</w:t>
      </w:r>
      <w:r w:rsidRPr="00902E7E">
        <w:rPr>
          <w:rFonts w:eastAsia="Times New Roman" w:cstheme="minorHAnsi"/>
          <w:color w:val="000000"/>
          <w:kern w:val="0"/>
          <w:lang w:eastAsia="fr-FR"/>
          <w14:ligatures w14:val="none"/>
        </w:rPr>
        <w:t> : affectation budgétaire ciblée, prélèvement solidaire, panier de base modulable.</w:t>
      </w:r>
    </w:p>
    <w:p w14:paraId="648B756B" w14:textId="77777777" w:rsidR="00902E7E" w:rsidRPr="00902E7E" w:rsidRDefault="00902E7E" w:rsidP="00FB0444">
      <w:pPr>
        <w:numPr>
          <w:ilvl w:val="0"/>
          <w:numId w:val="5"/>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Adapter les messages selon les publics cibles</w:t>
      </w:r>
      <w:r w:rsidRPr="00902E7E">
        <w:rPr>
          <w:rFonts w:eastAsia="Times New Roman" w:cstheme="minorHAnsi"/>
          <w:color w:val="000000"/>
          <w:kern w:val="0"/>
          <w:lang w:eastAsia="fr-FR"/>
          <w14:ligatures w14:val="none"/>
        </w:rPr>
        <w:t>, en tenant compte de leurs valeurs et préoccupations.</w:t>
      </w:r>
    </w:p>
    <w:p w14:paraId="552477F1" w14:textId="77777777" w:rsidR="00902E7E" w:rsidRPr="00902E7E" w:rsidRDefault="00902E7E" w:rsidP="00FB0444">
      <w:pPr>
        <w:numPr>
          <w:ilvl w:val="0"/>
          <w:numId w:val="5"/>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Renforcer la pédagogie</w:t>
      </w:r>
      <w:r w:rsidRPr="00902E7E">
        <w:rPr>
          <w:rFonts w:eastAsia="Times New Roman" w:cstheme="minorHAnsi"/>
          <w:color w:val="000000"/>
          <w:kern w:val="0"/>
          <w:lang w:eastAsia="fr-FR"/>
          <w14:ligatures w14:val="none"/>
        </w:rPr>
        <w:t>, par des campagnes d’information claires et concrètes sur les dispositifs existants.</w:t>
      </w:r>
    </w:p>
    <w:p w14:paraId="4E11E340" w14:textId="77777777" w:rsidR="00902E7E" w:rsidRDefault="00902E7E" w:rsidP="00FB0444">
      <w:pPr>
        <w:numPr>
          <w:ilvl w:val="0"/>
          <w:numId w:val="5"/>
        </w:num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b/>
          <w:bCs/>
          <w:color w:val="000000"/>
          <w:kern w:val="0"/>
          <w:lang w:eastAsia="fr-FR"/>
          <w14:ligatures w14:val="none"/>
        </w:rPr>
        <w:t>Expérimenter localement</w:t>
      </w:r>
      <w:r w:rsidRPr="00902E7E">
        <w:rPr>
          <w:rFonts w:eastAsia="Times New Roman" w:cstheme="minorHAnsi"/>
          <w:color w:val="000000"/>
          <w:kern w:val="0"/>
          <w:lang w:eastAsia="fr-FR"/>
          <w14:ligatures w14:val="none"/>
        </w:rPr>
        <w:t> des mécanismes de financement pour affiner les choix avant généralisation.</w:t>
      </w:r>
    </w:p>
    <w:p w14:paraId="268DF5C9" w14:textId="2B8792E9" w:rsidR="00FB0444" w:rsidRPr="00577622" w:rsidRDefault="00BB6730" w:rsidP="00577622">
      <w:pPr>
        <w:numPr>
          <w:ilvl w:val="0"/>
          <w:numId w:val="5"/>
        </w:numPr>
        <w:spacing w:before="100" w:beforeAutospacing="1" w:after="100" w:afterAutospacing="1"/>
        <w:jc w:val="both"/>
        <w:rPr>
          <w:rFonts w:eastAsia="Times New Roman" w:cstheme="minorHAnsi"/>
          <w:color w:val="000000"/>
          <w:kern w:val="0"/>
          <w:lang w:eastAsia="fr-FR"/>
          <w14:ligatures w14:val="none"/>
        </w:rPr>
      </w:pPr>
      <w:r>
        <w:rPr>
          <w:rFonts w:eastAsia="Times New Roman" w:cstheme="minorHAnsi"/>
          <w:b/>
          <w:bCs/>
          <w:color w:val="000000"/>
          <w:kern w:val="0"/>
          <w:lang w:eastAsia="fr-FR"/>
          <w14:ligatures w14:val="none"/>
        </w:rPr>
        <w:t>Organiser une convention citoyenne</w:t>
      </w:r>
      <w:r>
        <w:rPr>
          <w:rFonts w:eastAsia="Times New Roman" w:cstheme="minorHAnsi"/>
          <w:color w:val="000000"/>
          <w:kern w:val="0"/>
          <w:lang w:eastAsia="fr-FR"/>
          <w14:ligatures w14:val="none"/>
        </w:rPr>
        <w:t>, pour favoriser une délibération démocratique autour d’un enjeu d’avenir.</w:t>
      </w:r>
    </w:p>
    <w:p w14:paraId="2F1AE721" w14:textId="77777777" w:rsidR="00902E7E" w:rsidRPr="001A6C44" w:rsidRDefault="00FB0444" w:rsidP="00902E7E">
      <w:pPr>
        <w:spacing w:before="100" w:beforeAutospacing="1" w:after="100" w:afterAutospacing="1"/>
        <w:outlineLvl w:val="2"/>
        <w:rPr>
          <w:rFonts w:eastAsia="Times New Roman" w:cstheme="minorHAnsi"/>
          <w:b/>
          <w:bCs/>
          <w:color w:val="002060"/>
          <w:kern w:val="0"/>
          <w:lang w:eastAsia="fr-FR"/>
          <w14:ligatures w14:val="none"/>
        </w:rPr>
      </w:pPr>
      <w:r w:rsidRPr="001A6C44">
        <w:rPr>
          <w:rFonts w:eastAsia="Times New Roman" w:cstheme="minorHAnsi"/>
          <w:b/>
          <w:bCs/>
          <w:color w:val="002060"/>
          <w:kern w:val="0"/>
          <w:lang w:eastAsia="fr-FR"/>
          <w14:ligatures w14:val="none"/>
        </w:rPr>
        <w:t xml:space="preserve">Un </w:t>
      </w:r>
      <w:r w:rsidR="00902E7E" w:rsidRPr="001A6C44">
        <w:rPr>
          <w:rFonts w:eastAsia="Times New Roman" w:cstheme="minorHAnsi"/>
          <w:b/>
          <w:bCs/>
          <w:color w:val="002060"/>
          <w:kern w:val="0"/>
          <w:lang w:eastAsia="fr-FR"/>
          <w14:ligatures w14:val="none"/>
        </w:rPr>
        <w:t>chantier collectif à ouvrir sans tarder</w:t>
      </w:r>
    </w:p>
    <w:p w14:paraId="36219EED" w14:textId="77777777" w:rsidR="000D1B4C" w:rsidRDefault="00902E7E" w:rsidP="00FB0444">
      <w:pPr>
        <w:spacing w:before="100" w:beforeAutospacing="1" w:after="100" w:afterAutospacing="1"/>
        <w:jc w:val="both"/>
        <w:rPr>
          <w:rFonts w:eastAsia="Times New Roman" w:cstheme="minorHAnsi"/>
          <w:color w:val="000000"/>
          <w:kern w:val="0"/>
          <w:lang w:eastAsia="fr-FR"/>
          <w14:ligatures w14:val="none"/>
        </w:rPr>
      </w:pPr>
      <w:r w:rsidRPr="00902E7E">
        <w:rPr>
          <w:rFonts w:eastAsia="Times New Roman" w:cstheme="minorHAnsi"/>
          <w:color w:val="000000"/>
          <w:kern w:val="0"/>
          <w:lang w:eastAsia="fr-FR"/>
          <w14:ligatures w14:val="none"/>
        </w:rPr>
        <w:t>Alors que </w:t>
      </w:r>
      <w:r w:rsidRPr="00902E7E">
        <w:rPr>
          <w:rFonts w:eastAsia="Times New Roman" w:cstheme="minorHAnsi"/>
          <w:b/>
          <w:bCs/>
          <w:color w:val="000000"/>
          <w:kern w:val="0"/>
          <w:lang w:eastAsia="fr-FR"/>
          <w14:ligatures w14:val="none"/>
        </w:rPr>
        <w:t>près de 10 % de la population aura plus de 80 ans en 2050</w:t>
      </w:r>
      <w:r w:rsidRPr="00902E7E">
        <w:rPr>
          <w:rFonts w:eastAsia="Times New Roman" w:cstheme="minorHAnsi"/>
          <w:color w:val="000000"/>
          <w:kern w:val="0"/>
          <w:lang w:eastAsia="fr-FR"/>
          <w14:ligatures w14:val="none"/>
        </w:rPr>
        <w:t>, la question du financement de la perte d’autonomie devient </w:t>
      </w:r>
      <w:r w:rsidRPr="00902E7E">
        <w:rPr>
          <w:rFonts w:eastAsia="Times New Roman" w:cstheme="minorHAnsi"/>
          <w:b/>
          <w:bCs/>
          <w:color w:val="000000"/>
          <w:kern w:val="0"/>
          <w:lang w:eastAsia="fr-FR"/>
          <w14:ligatures w14:val="none"/>
        </w:rPr>
        <w:t>centrale pour la pérennité de notre modèle social</w:t>
      </w:r>
      <w:r w:rsidRPr="00902E7E">
        <w:rPr>
          <w:rFonts w:eastAsia="Times New Roman" w:cstheme="minorHAnsi"/>
          <w:color w:val="000000"/>
          <w:kern w:val="0"/>
          <w:lang w:eastAsia="fr-FR"/>
          <w14:ligatures w14:val="none"/>
        </w:rPr>
        <w:t>. Cette enquête rappelle l’importance d’une </w:t>
      </w:r>
      <w:r w:rsidRPr="00902E7E">
        <w:rPr>
          <w:rFonts w:eastAsia="Times New Roman" w:cstheme="minorHAnsi"/>
          <w:b/>
          <w:bCs/>
          <w:color w:val="000000"/>
          <w:kern w:val="0"/>
          <w:lang w:eastAsia="fr-FR"/>
          <w14:ligatures w14:val="none"/>
        </w:rPr>
        <w:t>démarche concertée, progressive et lisible</w:t>
      </w:r>
      <w:r w:rsidRPr="00902E7E">
        <w:rPr>
          <w:rFonts w:eastAsia="Times New Roman" w:cstheme="minorHAnsi"/>
          <w:color w:val="000000"/>
          <w:kern w:val="0"/>
          <w:lang w:eastAsia="fr-FR"/>
          <w14:ligatures w14:val="none"/>
        </w:rPr>
        <w:t>, qui respecte à la fois la capacité contributive des citoyens et l’exigence d’équité intergénérationnelle.</w:t>
      </w:r>
    </w:p>
    <w:p w14:paraId="42DABDF1" w14:textId="79A58B0A" w:rsidR="000D1B4C" w:rsidRPr="00902E7E" w:rsidRDefault="000D1B4C" w:rsidP="00FB0444">
      <w:pPr>
        <w:spacing w:before="100" w:beforeAutospacing="1" w:after="100" w:afterAutospacing="1"/>
        <w:jc w:val="both"/>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Retrouver les résultats détaillés de l’enquête </w:t>
      </w:r>
      <w:hyperlink r:id="rId14" w:history="1">
        <w:r w:rsidRPr="004A77C9">
          <w:rPr>
            <w:rStyle w:val="Lienhypertexte"/>
            <w:rFonts w:eastAsia="Times New Roman" w:cstheme="minorHAnsi"/>
            <w:kern w:val="0"/>
            <w:lang w:eastAsia="fr-FR"/>
            <w14:ligatures w14:val="none"/>
          </w:rPr>
          <w:t>ici</w:t>
        </w:r>
      </w:hyperlink>
      <w:r w:rsidR="004A77C9">
        <w:rPr>
          <w:rFonts w:eastAsia="Times New Roman" w:cstheme="minorHAnsi"/>
          <w:color w:val="000000"/>
          <w:kern w:val="0"/>
          <w:lang w:eastAsia="fr-FR"/>
          <w14:ligatures w14:val="none"/>
        </w:rPr>
        <w:t>.</w:t>
      </w:r>
    </w:p>
    <w:p w14:paraId="5CB5AA34" w14:textId="77777777" w:rsidR="00902E7E" w:rsidRDefault="00902E7E"/>
    <w:p w14:paraId="404F7D0F" w14:textId="6F95B2D8" w:rsidR="00FB0444" w:rsidRDefault="00584295">
      <w:pPr>
        <w:rPr>
          <w:b/>
          <w:bCs/>
          <w:sz w:val="16"/>
          <w:szCs w:val="16"/>
        </w:rPr>
      </w:pPr>
      <w:r w:rsidRPr="009D6354">
        <w:rPr>
          <w:b/>
          <w:bCs/>
          <w:sz w:val="16"/>
          <w:szCs w:val="16"/>
        </w:rPr>
        <w:t>À</w:t>
      </w:r>
      <w:r w:rsidR="00FB0444" w:rsidRPr="009D6354">
        <w:rPr>
          <w:b/>
          <w:bCs/>
          <w:sz w:val="16"/>
          <w:szCs w:val="16"/>
        </w:rPr>
        <w:t xml:space="preserve"> propos du Cercle </w:t>
      </w:r>
      <w:r w:rsidR="002563D1" w:rsidRPr="009D6354">
        <w:rPr>
          <w:b/>
          <w:bCs/>
          <w:sz w:val="16"/>
          <w:szCs w:val="16"/>
        </w:rPr>
        <w:t>Vulnérabilités et Société :</w:t>
      </w:r>
    </w:p>
    <w:p w14:paraId="23FBD215" w14:textId="05604716" w:rsidR="002563D1" w:rsidRDefault="002563D1" w:rsidP="002563D1">
      <w:pPr>
        <w:autoSpaceDE w:val="0"/>
        <w:autoSpaceDN w:val="0"/>
        <w:adjustRightInd w:val="0"/>
        <w:jc w:val="both"/>
        <w:rPr>
          <w:rFonts w:asciiTheme="majorHAnsi" w:hAnsiTheme="majorHAnsi" w:cstheme="majorHAnsi"/>
          <w:sz w:val="16"/>
          <w:szCs w:val="16"/>
        </w:rPr>
      </w:pPr>
      <w:r w:rsidRPr="002563D1">
        <w:rPr>
          <w:rFonts w:asciiTheme="majorHAnsi" w:hAnsiTheme="majorHAnsi" w:cstheme="majorHAnsi"/>
          <w:sz w:val="16"/>
          <w:szCs w:val="16"/>
        </w:rPr>
        <w:t xml:space="preserve">Le Cercle V&amp;S est un </w:t>
      </w:r>
      <w:proofErr w:type="spellStart"/>
      <w:r w:rsidRPr="002563D1">
        <w:rPr>
          <w:rFonts w:asciiTheme="majorHAnsi" w:hAnsiTheme="majorHAnsi" w:cstheme="majorHAnsi"/>
          <w:sz w:val="16"/>
          <w:szCs w:val="16"/>
        </w:rPr>
        <w:t>think</w:t>
      </w:r>
      <w:proofErr w:type="spellEnd"/>
      <w:r w:rsidRPr="002563D1">
        <w:rPr>
          <w:rFonts w:asciiTheme="majorHAnsi" w:hAnsiTheme="majorHAnsi" w:cstheme="majorHAnsi"/>
          <w:sz w:val="16"/>
          <w:szCs w:val="16"/>
        </w:rPr>
        <w:t xml:space="preserve"> &amp; action tank indépendant dédié aux vulnérabilités du champ social et de la santé. Il fédère aujourd’hui plus de 60 organisations privées, publiques et associatives, pour faire émerger des propositions et expérimenter de nouveaux modèles répondant aux défis de l’emploi, de la santé, de l’autonomie, de la citoyenneté et du lien social, face aux principales transitions (démographique, économique, écologique, du travail…).</w:t>
      </w:r>
      <w:r>
        <w:rPr>
          <w:rFonts w:asciiTheme="majorHAnsi" w:hAnsiTheme="majorHAnsi" w:cstheme="majorHAnsi"/>
          <w:sz w:val="16"/>
          <w:szCs w:val="16"/>
        </w:rPr>
        <w:t xml:space="preserve"> </w:t>
      </w:r>
      <w:hyperlink r:id="rId15" w:history="1">
        <w:r w:rsidRPr="006E6528">
          <w:rPr>
            <w:rStyle w:val="Lienhypertexte"/>
            <w:rFonts w:asciiTheme="majorHAnsi" w:hAnsiTheme="majorHAnsi" w:cstheme="majorHAnsi"/>
            <w:sz w:val="16"/>
            <w:szCs w:val="16"/>
          </w:rPr>
          <w:t>www.vulnerabilites-societe.fr</w:t>
        </w:r>
      </w:hyperlink>
    </w:p>
    <w:p w14:paraId="447D7F11" w14:textId="77777777" w:rsidR="00FB0444" w:rsidRPr="000D1B4C" w:rsidRDefault="00FB0444">
      <w:pPr>
        <w:rPr>
          <w:sz w:val="16"/>
          <w:szCs w:val="16"/>
        </w:rPr>
      </w:pPr>
    </w:p>
    <w:p w14:paraId="1D80881E" w14:textId="749EC89C" w:rsidR="00FB0444" w:rsidRPr="000D1B4C" w:rsidRDefault="00584295">
      <w:pPr>
        <w:rPr>
          <w:b/>
          <w:bCs/>
          <w:sz w:val="16"/>
          <w:szCs w:val="16"/>
        </w:rPr>
      </w:pPr>
      <w:r>
        <w:rPr>
          <w:b/>
          <w:bCs/>
          <w:sz w:val="16"/>
          <w:szCs w:val="16"/>
        </w:rPr>
        <w:t>À</w:t>
      </w:r>
      <w:r w:rsidR="00FB0444" w:rsidRPr="000D1B4C">
        <w:rPr>
          <w:b/>
          <w:bCs/>
          <w:sz w:val="16"/>
          <w:szCs w:val="16"/>
        </w:rPr>
        <w:t xml:space="preserve"> propos de la FEHAP</w:t>
      </w:r>
    </w:p>
    <w:p w14:paraId="66F2B1AD" w14:textId="77777777" w:rsidR="000D1B4C" w:rsidRPr="000D1B4C" w:rsidRDefault="000D1B4C" w:rsidP="000D1B4C">
      <w:pPr>
        <w:jc w:val="both"/>
        <w:rPr>
          <w:rStyle w:val="Lienhypertexte"/>
          <w:rFonts w:asciiTheme="majorHAnsi" w:hAnsiTheme="majorHAnsi" w:cstheme="majorHAnsi"/>
          <w:sz w:val="16"/>
          <w:szCs w:val="16"/>
        </w:rPr>
      </w:pPr>
      <w:r w:rsidRPr="000D1B4C">
        <w:rPr>
          <w:rFonts w:asciiTheme="majorHAnsi" w:hAnsiTheme="majorHAnsi" w:cstheme="majorHAnsi"/>
          <w:sz w:val="16"/>
          <w:szCs w:val="16"/>
        </w:rPr>
        <w:t xml:space="preserve">La FEHAP, </w:t>
      </w:r>
      <w:proofErr w:type="spellStart"/>
      <w:r w:rsidRPr="000D1B4C">
        <w:rPr>
          <w:rFonts w:asciiTheme="majorHAnsi" w:hAnsiTheme="majorHAnsi" w:cstheme="majorHAnsi"/>
          <w:sz w:val="16"/>
          <w:szCs w:val="16"/>
        </w:rPr>
        <w:t>présente</w:t>
      </w:r>
      <w:proofErr w:type="spellEnd"/>
      <w:r w:rsidRPr="000D1B4C">
        <w:rPr>
          <w:rFonts w:asciiTheme="majorHAnsi" w:hAnsiTheme="majorHAnsi" w:cstheme="majorHAnsi"/>
          <w:sz w:val="16"/>
          <w:szCs w:val="16"/>
        </w:rPr>
        <w:t xml:space="preserve"> depuis 1936 dans l’ensemble des champs de la protection sociale, rassemble plus de 6 000 </w:t>
      </w:r>
      <w:proofErr w:type="spellStart"/>
      <w:r w:rsidRPr="000D1B4C">
        <w:rPr>
          <w:rFonts w:asciiTheme="majorHAnsi" w:hAnsiTheme="majorHAnsi" w:cstheme="majorHAnsi"/>
          <w:sz w:val="16"/>
          <w:szCs w:val="16"/>
        </w:rPr>
        <w:t>adhérents</w:t>
      </w:r>
      <w:proofErr w:type="spellEnd"/>
      <w:r w:rsidRPr="000D1B4C">
        <w:rPr>
          <w:rFonts w:asciiTheme="majorHAnsi" w:hAnsiTheme="majorHAnsi" w:cstheme="majorHAnsi"/>
          <w:sz w:val="16"/>
          <w:szCs w:val="16"/>
        </w:rPr>
        <w:t xml:space="preserve">, œuvrant au sein de plus de 1500 organismes gestionnaires. Ces associations, fondations, </w:t>
      </w:r>
      <w:proofErr w:type="spellStart"/>
      <w:r w:rsidRPr="000D1B4C">
        <w:rPr>
          <w:rFonts w:asciiTheme="majorHAnsi" w:hAnsiTheme="majorHAnsi" w:cstheme="majorHAnsi"/>
          <w:sz w:val="16"/>
          <w:szCs w:val="16"/>
        </w:rPr>
        <w:t>congrégations</w:t>
      </w:r>
      <w:proofErr w:type="spellEnd"/>
      <w:r w:rsidRPr="000D1B4C">
        <w:rPr>
          <w:rFonts w:asciiTheme="majorHAnsi" w:hAnsiTheme="majorHAnsi" w:cstheme="majorHAnsi"/>
          <w:sz w:val="16"/>
          <w:szCs w:val="16"/>
        </w:rPr>
        <w:t xml:space="preserve">, mutuelles, organismes de retraite </w:t>
      </w:r>
      <w:proofErr w:type="spellStart"/>
      <w:r w:rsidRPr="000D1B4C">
        <w:rPr>
          <w:rFonts w:asciiTheme="majorHAnsi" w:hAnsiTheme="majorHAnsi" w:cstheme="majorHAnsi"/>
          <w:sz w:val="16"/>
          <w:szCs w:val="16"/>
        </w:rPr>
        <w:t>complémentaire</w:t>
      </w:r>
      <w:proofErr w:type="spellEnd"/>
      <w:r w:rsidRPr="000D1B4C">
        <w:rPr>
          <w:rFonts w:asciiTheme="majorHAnsi" w:hAnsiTheme="majorHAnsi" w:cstheme="majorHAnsi"/>
          <w:sz w:val="16"/>
          <w:szCs w:val="16"/>
        </w:rPr>
        <w:t xml:space="preserve">, de </w:t>
      </w:r>
      <w:proofErr w:type="spellStart"/>
      <w:r w:rsidRPr="000D1B4C">
        <w:rPr>
          <w:rFonts w:asciiTheme="majorHAnsi" w:hAnsiTheme="majorHAnsi" w:cstheme="majorHAnsi"/>
          <w:sz w:val="16"/>
          <w:szCs w:val="16"/>
        </w:rPr>
        <w:t>prévoyance</w:t>
      </w:r>
      <w:proofErr w:type="spellEnd"/>
      <w:r w:rsidRPr="000D1B4C">
        <w:rPr>
          <w:rFonts w:asciiTheme="majorHAnsi" w:hAnsiTheme="majorHAnsi" w:cstheme="majorHAnsi"/>
          <w:sz w:val="16"/>
          <w:szCs w:val="16"/>
        </w:rPr>
        <w:t xml:space="preserve"> ... emploient </w:t>
      </w:r>
      <w:proofErr w:type="spellStart"/>
      <w:r w:rsidRPr="000D1B4C">
        <w:rPr>
          <w:rFonts w:asciiTheme="majorHAnsi" w:hAnsiTheme="majorHAnsi" w:cstheme="majorHAnsi"/>
          <w:sz w:val="16"/>
          <w:szCs w:val="16"/>
        </w:rPr>
        <w:t>près</w:t>
      </w:r>
      <w:proofErr w:type="spellEnd"/>
      <w:r w:rsidRPr="000D1B4C">
        <w:rPr>
          <w:rFonts w:asciiTheme="majorHAnsi" w:hAnsiTheme="majorHAnsi" w:cstheme="majorHAnsi"/>
          <w:sz w:val="16"/>
          <w:szCs w:val="16"/>
        </w:rPr>
        <w:t xml:space="preserve"> de 368 000 </w:t>
      </w:r>
      <w:proofErr w:type="spellStart"/>
      <w:r w:rsidRPr="000D1B4C">
        <w:rPr>
          <w:rFonts w:asciiTheme="majorHAnsi" w:hAnsiTheme="majorHAnsi" w:cstheme="majorHAnsi"/>
          <w:sz w:val="16"/>
          <w:szCs w:val="16"/>
        </w:rPr>
        <w:t>salariés</w:t>
      </w:r>
      <w:proofErr w:type="spellEnd"/>
      <w:r w:rsidRPr="000D1B4C">
        <w:rPr>
          <w:rFonts w:asciiTheme="majorHAnsi" w:hAnsiTheme="majorHAnsi" w:cstheme="majorHAnsi"/>
          <w:sz w:val="16"/>
          <w:szCs w:val="16"/>
        </w:rPr>
        <w:t xml:space="preserve">, soit </w:t>
      </w:r>
      <w:proofErr w:type="spellStart"/>
      <w:r w:rsidRPr="000D1B4C">
        <w:rPr>
          <w:rFonts w:asciiTheme="majorHAnsi" w:hAnsiTheme="majorHAnsi" w:cstheme="majorHAnsi"/>
          <w:sz w:val="16"/>
          <w:szCs w:val="16"/>
        </w:rPr>
        <w:t>près</w:t>
      </w:r>
      <w:proofErr w:type="spellEnd"/>
      <w:r w:rsidRPr="000D1B4C">
        <w:rPr>
          <w:rFonts w:asciiTheme="majorHAnsi" w:hAnsiTheme="majorHAnsi" w:cstheme="majorHAnsi"/>
          <w:sz w:val="16"/>
          <w:szCs w:val="16"/>
        </w:rPr>
        <w:t xml:space="preserve"> de 12% des emplois </w:t>
      </w:r>
      <w:proofErr w:type="spellStart"/>
      <w:r w:rsidRPr="000D1B4C">
        <w:rPr>
          <w:rFonts w:asciiTheme="majorHAnsi" w:hAnsiTheme="majorHAnsi" w:cstheme="majorHAnsi"/>
          <w:sz w:val="16"/>
          <w:szCs w:val="16"/>
        </w:rPr>
        <w:t>salariés</w:t>
      </w:r>
      <w:proofErr w:type="spellEnd"/>
      <w:r w:rsidRPr="000D1B4C">
        <w:rPr>
          <w:rFonts w:asciiTheme="majorHAnsi" w:hAnsiTheme="majorHAnsi" w:cstheme="majorHAnsi"/>
          <w:sz w:val="16"/>
          <w:szCs w:val="16"/>
        </w:rPr>
        <w:t xml:space="preserve"> de l’ESS. Sa souplesse, alliant gestion </w:t>
      </w:r>
      <w:proofErr w:type="spellStart"/>
      <w:r w:rsidRPr="000D1B4C">
        <w:rPr>
          <w:rFonts w:asciiTheme="majorHAnsi" w:hAnsiTheme="majorHAnsi" w:cstheme="majorHAnsi"/>
          <w:sz w:val="16"/>
          <w:szCs w:val="16"/>
        </w:rPr>
        <w:t>privée</w:t>
      </w:r>
      <w:proofErr w:type="spellEnd"/>
      <w:r w:rsidRPr="000D1B4C">
        <w:rPr>
          <w:rFonts w:asciiTheme="majorHAnsi" w:hAnsiTheme="majorHAnsi" w:cstheme="majorHAnsi"/>
          <w:sz w:val="16"/>
          <w:szCs w:val="16"/>
        </w:rPr>
        <w:t xml:space="preserve"> et service public, place ses </w:t>
      </w:r>
      <w:proofErr w:type="spellStart"/>
      <w:r w:rsidRPr="000D1B4C">
        <w:rPr>
          <w:rFonts w:asciiTheme="majorHAnsi" w:hAnsiTheme="majorHAnsi" w:cstheme="majorHAnsi"/>
          <w:sz w:val="16"/>
          <w:szCs w:val="16"/>
        </w:rPr>
        <w:t>établissements</w:t>
      </w:r>
      <w:proofErr w:type="spellEnd"/>
      <w:r w:rsidRPr="000D1B4C">
        <w:rPr>
          <w:rFonts w:asciiTheme="majorHAnsi" w:hAnsiTheme="majorHAnsi" w:cstheme="majorHAnsi"/>
          <w:sz w:val="16"/>
          <w:szCs w:val="16"/>
        </w:rPr>
        <w:t xml:space="preserve"> et services à la pointe de l’innovation et de la recherche. Sa gouvernance, issue de la </w:t>
      </w:r>
      <w:proofErr w:type="spellStart"/>
      <w:r w:rsidRPr="000D1B4C">
        <w:rPr>
          <w:rFonts w:asciiTheme="majorHAnsi" w:hAnsiTheme="majorHAnsi" w:cstheme="majorHAnsi"/>
          <w:sz w:val="16"/>
          <w:szCs w:val="16"/>
        </w:rPr>
        <w:t>sociéte</w:t>
      </w:r>
      <w:proofErr w:type="spellEnd"/>
      <w:r w:rsidRPr="000D1B4C">
        <w:rPr>
          <w:rFonts w:asciiTheme="majorHAnsi" w:hAnsiTheme="majorHAnsi" w:cstheme="majorHAnsi"/>
          <w:sz w:val="16"/>
          <w:szCs w:val="16"/>
        </w:rPr>
        <w:t xml:space="preserve">́ civile, est </w:t>
      </w:r>
      <w:proofErr w:type="spellStart"/>
      <w:r w:rsidRPr="000D1B4C">
        <w:rPr>
          <w:rFonts w:asciiTheme="majorHAnsi" w:hAnsiTheme="majorHAnsi" w:cstheme="majorHAnsi"/>
          <w:sz w:val="16"/>
          <w:szCs w:val="16"/>
        </w:rPr>
        <w:t>désintéressée</w:t>
      </w:r>
      <w:proofErr w:type="spellEnd"/>
      <w:r w:rsidRPr="000D1B4C">
        <w:rPr>
          <w:rFonts w:asciiTheme="majorHAnsi" w:hAnsiTheme="majorHAnsi" w:cstheme="majorHAnsi"/>
          <w:sz w:val="16"/>
          <w:szCs w:val="16"/>
        </w:rPr>
        <w:t xml:space="preserve">. Ainsi, tous les </w:t>
      </w:r>
      <w:proofErr w:type="spellStart"/>
      <w:r w:rsidRPr="000D1B4C">
        <w:rPr>
          <w:rFonts w:asciiTheme="majorHAnsi" w:hAnsiTheme="majorHAnsi" w:cstheme="majorHAnsi"/>
          <w:sz w:val="16"/>
          <w:szCs w:val="16"/>
        </w:rPr>
        <w:t>résultats</w:t>
      </w:r>
      <w:proofErr w:type="spellEnd"/>
      <w:r w:rsidRPr="000D1B4C">
        <w:rPr>
          <w:rFonts w:asciiTheme="majorHAnsi" w:hAnsiTheme="majorHAnsi" w:cstheme="majorHAnsi"/>
          <w:sz w:val="16"/>
          <w:szCs w:val="16"/>
        </w:rPr>
        <w:t xml:space="preserve"> sont </w:t>
      </w:r>
      <w:proofErr w:type="spellStart"/>
      <w:r w:rsidRPr="000D1B4C">
        <w:rPr>
          <w:rFonts w:asciiTheme="majorHAnsi" w:hAnsiTheme="majorHAnsi" w:cstheme="majorHAnsi"/>
          <w:sz w:val="16"/>
          <w:szCs w:val="16"/>
        </w:rPr>
        <w:t>réinvestis</w:t>
      </w:r>
      <w:proofErr w:type="spellEnd"/>
      <w:r w:rsidRPr="000D1B4C">
        <w:rPr>
          <w:rFonts w:asciiTheme="majorHAnsi" w:hAnsiTheme="majorHAnsi" w:cstheme="majorHAnsi"/>
          <w:sz w:val="16"/>
          <w:szCs w:val="16"/>
        </w:rPr>
        <w:t xml:space="preserve"> au sein des structures au profit des personnes accueillies et </w:t>
      </w:r>
      <w:proofErr w:type="spellStart"/>
      <w:r w:rsidRPr="000D1B4C">
        <w:rPr>
          <w:rFonts w:asciiTheme="majorHAnsi" w:hAnsiTheme="majorHAnsi" w:cstheme="majorHAnsi"/>
          <w:sz w:val="16"/>
          <w:szCs w:val="16"/>
        </w:rPr>
        <w:t>soignées</w:t>
      </w:r>
      <w:proofErr w:type="spellEnd"/>
      <w:r w:rsidRPr="000D1B4C">
        <w:rPr>
          <w:rFonts w:asciiTheme="majorHAnsi" w:hAnsiTheme="majorHAnsi" w:cstheme="majorHAnsi"/>
          <w:sz w:val="16"/>
          <w:szCs w:val="16"/>
        </w:rPr>
        <w:t xml:space="preserve">. </w:t>
      </w:r>
      <w:hyperlink r:id="rId16" w:history="1">
        <w:r w:rsidRPr="000D1B4C">
          <w:rPr>
            <w:rStyle w:val="Lienhypertexte"/>
            <w:rFonts w:asciiTheme="majorHAnsi" w:hAnsiTheme="majorHAnsi" w:cstheme="majorHAnsi"/>
            <w:sz w:val="16"/>
            <w:szCs w:val="16"/>
          </w:rPr>
          <w:t>www.fehap.fr</w:t>
        </w:r>
      </w:hyperlink>
    </w:p>
    <w:p w14:paraId="07971E55" w14:textId="77777777" w:rsidR="000D1B4C" w:rsidRPr="000D1B4C" w:rsidRDefault="000D1B4C">
      <w:pPr>
        <w:rPr>
          <w:b/>
          <w:bCs/>
          <w:sz w:val="16"/>
          <w:szCs w:val="16"/>
        </w:rPr>
      </w:pPr>
    </w:p>
    <w:p w14:paraId="4B73463F" w14:textId="77777777" w:rsidR="00FB0444" w:rsidRPr="000D1B4C" w:rsidRDefault="00FB0444">
      <w:pPr>
        <w:rPr>
          <w:sz w:val="16"/>
          <w:szCs w:val="16"/>
        </w:rPr>
      </w:pPr>
    </w:p>
    <w:p w14:paraId="205AAE8A" w14:textId="606B45F2" w:rsidR="00FB0444" w:rsidRPr="000D1B4C" w:rsidRDefault="00584295">
      <w:pPr>
        <w:rPr>
          <w:b/>
          <w:bCs/>
          <w:sz w:val="16"/>
          <w:szCs w:val="16"/>
        </w:rPr>
      </w:pPr>
      <w:r>
        <w:rPr>
          <w:b/>
          <w:bCs/>
          <w:sz w:val="16"/>
          <w:szCs w:val="16"/>
        </w:rPr>
        <w:t>À</w:t>
      </w:r>
      <w:r w:rsidR="00FB0444" w:rsidRPr="000D1B4C">
        <w:rPr>
          <w:b/>
          <w:bCs/>
          <w:sz w:val="16"/>
          <w:szCs w:val="16"/>
        </w:rPr>
        <w:t xml:space="preserve"> propos de l’ORCIP</w:t>
      </w:r>
    </w:p>
    <w:p w14:paraId="02EE2BAF" w14:textId="30994F89" w:rsidR="009D6354" w:rsidRPr="009D6354" w:rsidRDefault="009D6354" w:rsidP="009D6354">
      <w:pPr>
        <w:rPr>
          <w:sz w:val="16"/>
          <w:szCs w:val="16"/>
        </w:rPr>
      </w:pPr>
      <w:r w:rsidRPr="009D6354">
        <w:rPr>
          <w:sz w:val="16"/>
          <w:szCs w:val="16"/>
        </w:rPr>
        <w:t> L’OCIRP, assureur paritaire à vocation sociale, innove depuis près de 60 ans en collaborant avec ses institutions de prévoyance membres pour protéger le salarié et sa famille en les aidant à faire face aux conséquences d’un décès ou de la perte d’autonomie.</w:t>
      </w:r>
    </w:p>
    <w:p w14:paraId="060E8C81" w14:textId="3C99B186" w:rsidR="009D6354" w:rsidRPr="009D6354" w:rsidRDefault="009D6354" w:rsidP="009D6354">
      <w:pPr>
        <w:rPr>
          <w:sz w:val="16"/>
          <w:szCs w:val="16"/>
        </w:rPr>
      </w:pPr>
      <w:r w:rsidRPr="009D6354">
        <w:rPr>
          <w:sz w:val="16"/>
          <w:szCs w:val="16"/>
        </w:rPr>
        <w:lastRenderedPageBreak/>
        <w:t>Plus de six millions d’assurés couverts par les garanties OCIRP bénéficient de cette protection face à ces risques lourds. Négociées au sein des entreprises ou des branches professionnelles, elles garantissent le versement d’une rente ou d’une aide financière ponctuelle, ainsi qu’un accompagnement social personnalisé. </w:t>
      </w:r>
    </w:p>
    <w:p w14:paraId="1DF41BF3" w14:textId="77777777" w:rsidR="00BB6730" w:rsidRPr="000D1B4C" w:rsidRDefault="00BB6730">
      <w:pPr>
        <w:rPr>
          <w:sz w:val="16"/>
          <w:szCs w:val="16"/>
        </w:rPr>
      </w:pPr>
    </w:p>
    <w:p w14:paraId="16CEA7C9" w14:textId="2C7E59FA" w:rsidR="00FB0444" w:rsidRPr="000D1B4C" w:rsidRDefault="00584295" w:rsidP="0052609B">
      <w:pPr>
        <w:jc w:val="both"/>
        <w:rPr>
          <w:b/>
          <w:bCs/>
          <w:sz w:val="16"/>
          <w:szCs w:val="16"/>
        </w:rPr>
      </w:pPr>
      <w:r>
        <w:rPr>
          <w:b/>
          <w:bCs/>
          <w:sz w:val="16"/>
          <w:szCs w:val="16"/>
        </w:rPr>
        <w:t>À</w:t>
      </w:r>
      <w:r w:rsidR="00FB0444" w:rsidRPr="000D1B4C">
        <w:rPr>
          <w:b/>
          <w:bCs/>
          <w:sz w:val="16"/>
          <w:szCs w:val="16"/>
        </w:rPr>
        <w:t xml:space="preserve"> propos du </w:t>
      </w:r>
      <w:proofErr w:type="spellStart"/>
      <w:r w:rsidR="00FB0444" w:rsidRPr="000D1B4C">
        <w:rPr>
          <w:b/>
          <w:bCs/>
          <w:sz w:val="16"/>
          <w:szCs w:val="16"/>
        </w:rPr>
        <w:t>Synerpa</w:t>
      </w:r>
      <w:proofErr w:type="spellEnd"/>
    </w:p>
    <w:p w14:paraId="596C6BA0" w14:textId="77777777" w:rsidR="00584295" w:rsidRPr="00584295" w:rsidRDefault="00584295" w:rsidP="00584295">
      <w:pPr>
        <w:jc w:val="both"/>
        <w:rPr>
          <w:sz w:val="16"/>
          <w:szCs w:val="16"/>
        </w:rPr>
      </w:pPr>
      <w:bookmarkStart w:id="1" w:name="_Hlk170979297"/>
      <w:r w:rsidRPr="00584295">
        <w:rPr>
          <w:sz w:val="16"/>
          <w:szCs w:val="16"/>
        </w:rPr>
        <w:t xml:space="preserve">Créé en juin 2001, le </w:t>
      </w:r>
      <w:proofErr w:type="spellStart"/>
      <w:r w:rsidRPr="00584295">
        <w:rPr>
          <w:sz w:val="16"/>
          <w:szCs w:val="16"/>
        </w:rPr>
        <w:t>Synerpa</w:t>
      </w:r>
      <w:proofErr w:type="spellEnd"/>
      <w:r w:rsidRPr="00584295">
        <w:rPr>
          <w:sz w:val="16"/>
          <w:szCs w:val="16"/>
        </w:rPr>
        <w:t xml:space="preserve"> est la première confédération de l’hébergement, de l’aide et de l’accompagnement de la personne âgée. Il regroupe les principaux acteurs privés français des EHPAD (établissements d’hébergement pour personnes âgées dépendantes), des habitats intermédiaires, des services et soins à domicile avec le </w:t>
      </w:r>
      <w:proofErr w:type="spellStart"/>
      <w:r w:rsidRPr="00584295">
        <w:rPr>
          <w:sz w:val="16"/>
          <w:szCs w:val="16"/>
        </w:rPr>
        <w:t>Synerpa</w:t>
      </w:r>
      <w:proofErr w:type="spellEnd"/>
      <w:r w:rsidRPr="00584295">
        <w:rPr>
          <w:sz w:val="16"/>
          <w:szCs w:val="16"/>
        </w:rPr>
        <w:t xml:space="preserve"> Domicile. Le </w:t>
      </w:r>
      <w:proofErr w:type="spellStart"/>
      <w:r w:rsidRPr="00584295">
        <w:rPr>
          <w:sz w:val="16"/>
          <w:szCs w:val="16"/>
        </w:rPr>
        <w:t>Synerpa</w:t>
      </w:r>
      <w:proofErr w:type="spellEnd"/>
      <w:r w:rsidRPr="00584295">
        <w:rPr>
          <w:sz w:val="16"/>
          <w:szCs w:val="16"/>
        </w:rPr>
        <w:t xml:space="preserve"> rassemble au total 3 500 adhérents, dont 2 000 </w:t>
      </w:r>
      <w:proofErr w:type="gramStart"/>
      <w:r w:rsidRPr="00584295">
        <w:rPr>
          <w:sz w:val="16"/>
          <w:szCs w:val="16"/>
        </w:rPr>
        <w:t>EHPAD</w:t>
      </w:r>
      <w:proofErr w:type="gramEnd"/>
      <w:r w:rsidRPr="00584295">
        <w:rPr>
          <w:sz w:val="16"/>
          <w:szCs w:val="16"/>
        </w:rPr>
        <w:t>, 300 habitats intermédiaires et 1 200 agences de services et soins à domicile, soit plus de 300 000 personnes hébergées et aidées et 170 000 salariés. Depuis 2019, le Conseil national des établissements thermaux (</w:t>
      </w:r>
      <w:proofErr w:type="spellStart"/>
      <w:r w:rsidRPr="00584295">
        <w:rPr>
          <w:sz w:val="16"/>
          <w:szCs w:val="16"/>
        </w:rPr>
        <w:t>CNETh</w:t>
      </w:r>
      <w:proofErr w:type="spellEnd"/>
      <w:r w:rsidRPr="00584295">
        <w:rPr>
          <w:sz w:val="16"/>
          <w:szCs w:val="16"/>
        </w:rPr>
        <w:t xml:space="preserve">), qui représente 110 établissements, est également un syndicat affilié du </w:t>
      </w:r>
      <w:proofErr w:type="spellStart"/>
      <w:r w:rsidRPr="00584295">
        <w:rPr>
          <w:sz w:val="16"/>
          <w:szCs w:val="16"/>
        </w:rPr>
        <w:t>Synerpa</w:t>
      </w:r>
      <w:proofErr w:type="spellEnd"/>
      <w:r w:rsidRPr="00584295">
        <w:rPr>
          <w:sz w:val="16"/>
          <w:szCs w:val="16"/>
        </w:rPr>
        <w:t>.</w:t>
      </w:r>
      <w:bookmarkEnd w:id="1"/>
    </w:p>
    <w:p w14:paraId="69858A5D" w14:textId="79309FB9" w:rsidR="00FB0444" w:rsidRPr="000D1B4C" w:rsidRDefault="00FB0444" w:rsidP="00584295">
      <w:pPr>
        <w:jc w:val="both"/>
        <w:rPr>
          <w:sz w:val="16"/>
          <w:szCs w:val="16"/>
        </w:rPr>
      </w:pPr>
    </w:p>
    <w:sectPr w:rsidR="00FB0444" w:rsidRPr="000D1B4C" w:rsidSect="0037655A">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2953" w14:textId="77777777" w:rsidR="00430545" w:rsidRDefault="00430545" w:rsidP="00FB0444">
      <w:r>
        <w:separator/>
      </w:r>
    </w:p>
  </w:endnote>
  <w:endnote w:type="continuationSeparator" w:id="0">
    <w:p w14:paraId="222BD71D" w14:textId="77777777" w:rsidR="00430545" w:rsidRDefault="00430545" w:rsidP="00FB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2D59" w14:textId="77777777" w:rsidR="00FB0444" w:rsidRPr="00FB0444" w:rsidRDefault="00FB0444" w:rsidP="00FB0444">
    <w:pPr>
      <w:pStyle w:val="Pieddepage"/>
      <w:jc w:val="center"/>
      <w:rPr>
        <w:b/>
        <w:bCs/>
        <w:sz w:val="18"/>
        <w:szCs w:val="18"/>
      </w:rPr>
    </w:pPr>
    <w:r w:rsidRPr="00FB0444">
      <w:rPr>
        <w:b/>
        <w:bCs/>
        <w:sz w:val="18"/>
        <w:szCs w:val="18"/>
      </w:rPr>
      <w:t>Contacts presse</w:t>
    </w:r>
  </w:p>
  <w:p w14:paraId="120260CA" w14:textId="5DF7E6DA" w:rsidR="00FB0444" w:rsidRPr="00FB0444" w:rsidRDefault="00FB0444">
    <w:pPr>
      <w:pStyle w:val="Pieddepage"/>
      <w:rPr>
        <w:sz w:val="18"/>
        <w:szCs w:val="18"/>
      </w:rPr>
    </w:pPr>
    <w:r w:rsidRPr="00FB0444">
      <w:rPr>
        <w:sz w:val="18"/>
        <w:szCs w:val="18"/>
      </w:rPr>
      <w:t xml:space="preserve"> </w:t>
    </w:r>
  </w:p>
  <w:p w14:paraId="0047D45E" w14:textId="77777777" w:rsidR="00FB0444" w:rsidRPr="00D00564" w:rsidRDefault="00FB0444">
    <w:pPr>
      <w:pStyle w:val="Pieddepage"/>
      <w:rPr>
        <w:sz w:val="18"/>
        <w:szCs w:val="18"/>
        <w:lang w:val="nl-NL"/>
      </w:rPr>
    </w:pPr>
    <w:proofErr w:type="gramStart"/>
    <w:r w:rsidRPr="00D00564">
      <w:rPr>
        <w:sz w:val="18"/>
        <w:szCs w:val="18"/>
        <w:lang w:val="nl-NL"/>
      </w:rPr>
      <w:t>FEHAP :</w:t>
    </w:r>
    <w:proofErr w:type="gramEnd"/>
    <w:r w:rsidRPr="00D00564">
      <w:rPr>
        <w:sz w:val="18"/>
        <w:szCs w:val="18"/>
        <w:lang w:val="nl-NL"/>
      </w:rPr>
      <w:t xml:space="preserve"> Maryse de Wever – </w:t>
    </w:r>
    <w:hyperlink r:id="rId1" w:history="1">
      <w:r w:rsidRPr="00D00564">
        <w:rPr>
          <w:rStyle w:val="Lienhypertexte"/>
          <w:sz w:val="18"/>
          <w:szCs w:val="18"/>
          <w:lang w:val="nl-NL"/>
        </w:rPr>
        <w:t>maryse.dewever@fehap.fr</w:t>
      </w:r>
    </w:hyperlink>
    <w:r w:rsidRPr="00D00564">
      <w:rPr>
        <w:sz w:val="18"/>
        <w:szCs w:val="18"/>
        <w:lang w:val="nl-NL"/>
      </w:rPr>
      <w:t xml:space="preserve"> </w:t>
    </w:r>
    <w:r w:rsidRPr="00D00564">
      <w:rPr>
        <w:color w:val="000000" w:themeColor="text1"/>
        <w:sz w:val="18"/>
        <w:szCs w:val="18"/>
        <w:lang w:val="nl-NL"/>
      </w:rPr>
      <w:t xml:space="preserve">- </w:t>
    </w:r>
    <w:r w:rsidRPr="00D00564">
      <w:rPr>
        <w:rFonts w:ascii="Calibri" w:eastAsia="Times New Roman" w:hAnsi="Calibri" w:cs="Calibri"/>
        <w:color w:val="000000" w:themeColor="text1"/>
        <w:sz w:val="18"/>
        <w:szCs w:val="18"/>
        <w:lang w:val="nl-NL" w:eastAsia="fr-FR"/>
      </w:rPr>
      <w:t>06 77 20 93 81</w:t>
    </w:r>
  </w:p>
  <w:p w14:paraId="5EAAC95A" w14:textId="7FED0038" w:rsidR="00FB0444" w:rsidRPr="00247B2D" w:rsidRDefault="00FB0444">
    <w:pPr>
      <w:pStyle w:val="Pieddepage"/>
      <w:rPr>
        <w:sz w:val="18"/>
        <w:szCs w:val="18"/>
      </w:rPr>
    </w:pPr>
    <w:r w:rsidRPr="00247B2D">
      <w:rPr>
        <w:sz w:val="18"/>
        <w:szCs w:val="18"/>
      </w:rPr>
      <w:t xml:space="preserve">OCIRP : </w:t>
    </w:r>
    <w:r w:rsidR="00247B2D" w:rsidRPr="00247B2D">
      <w:rPr>
        <w:sz w:val="18"/>
        <w:szCs w:val="18"/>
      </w:rPr>
      <w:t>Anne Saulnier </w:t>
    </w:r>
    <w:r w:rsidR="00247B2D">
      <w:rPr>
        <w:sz w:val="18"/>
        <w:szCs w:val="18"/>
      </w:rPr>
      <w:t xml:space="preserve">- </w:t>
    </w:r>
    <w:hyperlink r:id="rId2" w:history="1">
      <w:r w:rsidR="00293246" w:rsidRPr="00293246">
        <w:rPr>
          <w:rStyle w:val="Lienhypertexte"/>
          <w:sz w:val="18"/>
          <w:szCs w:val="18"/>
        </w:rPr>
        <w:t>saulnier@ocirp.fr</w:t>
      </w:r>
    </w:hyperlink>
    <w:r w:rsidR="00293246">
      <w:rPr>
        <w:sz w:val="18"/>
        <w:szCs w:val="18"/>
      </w:rPr>
      <w:t xml:space="preserve"> - </w:t>
    </w:r>
    <w:r w:rsidR="00B658F5" w:rsidRPr="00B658F5">
      <w:rPr>
        <w:sz w:val="18"/>
        <w:szCs w:val="18"/>
      </w:rPr>
      <w:t>Tél. 07 45 29 61 72</w:t>
    </w:r>
  </w:p>
  <w:p w14:paraId="58FB6C2B" w14:textId="731B6564" w:rsidR="00FB0444" w:rsidRPr="0001491A" w:rsidRDefault="00FB0444">
    <w:pPr>
      <w:pStyle w:val="Pieddepage"/>
      <w:rPr>
        <w:sz w:val="18"/>
        <w:szCs w:val="18"/>
      </w:rPr>
    </w:pPr>
    <w:proofErr w:type="spellStart"/>
    <w:r w:rsidRPr="0001491A">
      <w:rPr>
        <w:sz w:val="18"/>
        <w:szCs w:val="18"/>
      </w:rPr>
      <w:t>Synerpa</w:t>
    </w:r>
    <w:proofErr w:type="spellEnd"/>
    <w:r w:rsidRPr="0001491A">
      <w:rPr>
        <w:sz w:val="18"/>
        <w:szCs w:val="18"/>
      </w:rPr>
      <w:t> :</w:t>
    </w:r>
    <w:r w:rsidR="007632BB" w:rsidRPr="0001491A">
      <w:rPr>
        <w:sz w:val="18"/>
        <w:szCs w:val="18"/>
      </w:rPr>
      <w:t xml:space="preserve"> </w:t>
    </w:r>
    <w:proofErr w:type="spellStart"/>
    <w:r w:rsidR="007632BB" w:rsidRPr="0001491A">
      <w:rPr>
        <w:sz w:val="18"/>
        <w:szCs w:val="18"/>
      </w:rPr>
      <w:t>Ferran</w:t>
    </w:r>
    <w:proofErr w:type="spellEnd"/>
    <w:r w:rsidR="007632BB" w:rsidRPr="0001491A">
      <w:rPr>
        <w:sz w:val="18"/>
        <w:szCs w:val="18"/>
      </w:rPr>
      <w:t xml:space="preserve"> Laurène – </w:t>
    </w:r>
    <w:hyperlink r:id="rId3" w:history="1">
      <w:r w:rsidR="007632BB" w:rsidRPr="0001491A">
        <w:rPr>
          <w:rStyle w:val="Lienhypertexte"/>
          <w:sz w:val="18"/>
          <w:szCs w:val="18"/>
        </w:rPr>
        <w:t>ferran@synerpa.fr</w:t>
      </w:r>
    </w:hyperlink>
    <w:r w:rsidR="007632BB" w:rsidRPr="0001491A">
      <w:rPr>
        <w:sz w:val="18"/>
        <w:szCs w:val="18"/>
      </w:rPr>
      <w:t xml:space="preserve"> – 06 86 68 31 13 / </w:t>
    </w:r>
    <w:r w:rsidR="0052609B" w:rsidRPr="0001491A">
      <w:rPr>
        <w:sz w:val="18"/>
        <w:szCs w:val="18"/>
      </w:rPr>
      <w:t xml:space="preserve">Elisabeth Roy – </w:t>
    </w:r>
    <w:hyperlink r:id="rId4" w:history="1">
      <w:r w:rsidR="0052609B" w:rsidRPr="0001491A">
        <w:rPr>
          <w:rStyle w:val="Lienhypertexte"/>
          <w:sz w:val="18"/>
          <w:szCs w:val="18"/>
        </w:rPr>
        <w:t>roy@synerpa.fr</w:t>
      </w:r>
    </w:hyperlink>
    <w:r w:rsidR="0052609B" w:rsidRPr="0001491A">
      <w:rPr>
        <w:sz w:val="18"/>
        <w:szCs w:val="18"/>
      </w:rPr>
      <w:t xml:space="preserve"> </w:t>
    </w:r>
    <w:r w:rsidR="00584295" w:rsidRPr="0001491A">
      <w:rPr>
        <w:sz w:val="18"/>
        <w:szCs w:val="18"/>
      </w:rPr>
      <w:t>–</w:t>
    </w:r>
    <w:r w:rsidR="0052609B" w:rsidRPr="0001491A">
      <w:rPr>
        <w:sz w:val="18"/>
        <w:szCs w:val="18"/>
      </w:rPr>
      <w:t xml:space="preserve"> </w:t>
    </w:r>
    <w:r w:rsidR="00584295" w:rsidRPr="0001491A">
      <w:rPr>
        <w:sz w:val="18"/>
        <w:szCs w:val="18"/>
      </w:rPr>
      <w:t>06 17 49 56 64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3D9FA" w14:textId="77777777" w:rsidR="00430545" w:rsidRDefault="00430545" w:rsidP="00FB0444">
      <w:r>
        <w:separator/>
      </w:r>
    </w:p>
  </w:footnote>
  <w:footnote w:type="continuationSeparator" w:id="0">
    <w:p w14:paraId="7E928EC4" w14:textId="77777777" w:rsidR="00430545" w:rsidRDefault="00430545" w:rsidP="00FB0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805"/>
    <w:multiLevelType w:val="multilevel"/>
    <w:tmpl w:val="09BA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64EA3"/>
    <w:multiLevelType w:val="multilevel"/>
    <w:tmpl w:val="FC3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42B1B"/>
    <w:multiLevelType w:val="multilevel"/>
    <w:tmpl w:val="CBF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13D7C"/>
    <w:multiLevelType w:val="multilevel"/>
    <w:tmpl w:val="DDA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1468D"/>
    <w:multiLevelType w:val="multilevel"/>
    <w:tmpl w:val="BDD8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7E"/>
    <w:rsid w:val="0001491A"/>
    <w:rsid w:val="000A7EB6"/>
    <w:rsid w:val="000D1B4C"/>
    <w:rsid w:val="000F4147"/>
    <w:rsid w:val="00120E90"/>
    <w:rsid w:val="001338F6"/>
    <w:rsid w:val="001350C5"/>
    <w:rsid w:val="0013623C"/>
    <w:rsid w:val="00151C6F"/>
    <w:rsid w:val="00175505"/>
    <w:rsid w:val="001A6C44"/>
    <w:rsid w:val="001C0CDA"/>
    <w:rsid w:val="002407EE"/>
    <w:rsid w:val="00247B2D"/>
    <w:rsid w:val="002563D1"/>
    <w:rsid w:val="00277E7A"/>
    <w:rsid w:val="00293246"/>
    <w:rsid w:val="002B6722"/>
    <w:rsid w:val="002C5100"/>
    <w:rsid w:val="00315A3E"/>
    <w:rsid w:val="003169D2"/>
    <w:rsid w:val="0037655A"/>
    <w:rsid w:val="00386FD8"/>
    <w:rsid w:val="00391114"/>
    <w:rsid w:val="003922BC"/>
    <w:rsid w:val="003F6C85"/>
    <w:rsid w:val="00430545"/>
    <w:rsid w:val="00461D99"/>
    <w:rsid w:val="004635DA"/>
    <w:rsid w:val="004A77C9"/>
    <w:rsid w:val="004C7614"/>
    <w:rsid w:val="00507A4C"/>
    <w:rsid w:val="00523B54"/>
    <w:rsid w:val="0052609B"/>
    <w:rsid w:val="00577622"/>
    <w:rsid w:val="00584295"/>
    <w:rsid w:val="005C1308"/>
    <w:rsid w:val="005E3DEB"/>
    <w:rsid w:val="005F3162"/>
    <w:rsid w:val="00623218"/>
    <w:rsid w:val="006242BD"/>
    <w:rsid w:val="006740E8"/>
    <w:rsid w:val="0067428A"/>
    <w:rsid w:val="00690E91"/>
    <w:rsid w:val="006B7273"/>
    <w:rsid w:val="006C7B7F"/>
    <w:rsid w:val="006D0DE9"/>
    <w:rsid w:val="006D476F"/>
    <w:rsid w:val="007255ED"/>
    <w:rsid w:val="007632BB"/>
    <w:rsid w:val="007D4EEB"/>
    <w:rsid w:val="00820AA5"/>
    <w:rsid w:val="00830FAE"/>
    <w:rsid w:val="0087528F"/>
    <w:rsid w:val="008E7A36"/>
    <w:rsid w:val="00902E7E"/>
    <w:rsid w:val="00961CC5"/>
    <w:rsid w:val="0096585E"/>
    <w:rsid w:val="009A307A"/>
    <w:rsid w:val="009C7CE7"/>
    <w:rsid w:val="009D6354"/>
    <w:rsid w:val="00AC2D92"/>
    <w:rsid w:val="00AF19C1"/>
    <w:rsid w:val="00B0720E"/>
    <w:rsid w:val="00B42B10"/>
    <w:rsid w:val="00B64032"/>
    <w:rsid w:val="00B658F5"/>
    <w:rsid w:val="00BB6730"/>
    <w:rsid w:val="00BC4987"/>
    <w:rsid w:val="00C30F11"/>
    <w:rsid w:val="00CB419D"/>
    <w:rsid w:val="00D00564"/>
    <w:rsid w:val="00D055D6"/>
    <w:rsid w:val="00D21981"/>
    <w:rsid w:val="00D532AE"/>
    <w:rsid w:val="00D76911"/>
    <w:rsid w:val="00D939C5"/>
    <w:rsid w:val="00E02975"/>
    <w:rsid w:val="00E36B41"/>
    <w:rsid w:val="00E51947"/>
    <w:rsid w:val="00E632FC"/>
    <w:rsid w:val="00F33FDA"/>
    <w:rsid w:val="00F370EA"/>
    <w:rsid w:val="00F40F37"/>
    <w:rsid w:val="00F642C3"/>
    <w:rsid w:val="00F96F7B"/>
    <w:rsid w:val="00FB0444"/>
    <w:rsid w:val="00FC7DF5"/>
    <w:rsid w:val="00FF7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1365"/>
  <w15:chartTrackingRefBased/>
  <w15:docId w15:val="{91ABBD8E-0536-40D1-9318-9941A9C0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902E7E"/>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902E7E"/>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2E7E"/>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902E7E"/>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902E7E"/>
    <w:rPr>
      <w:b/>
      <w:bCs/>
    </w:rPr>
  </w:style>
  <w:style w:type="paragraph" w:styleId="NormalWeb">
    <w:name w:val="Normal (Web)"/>
    <w:basedOn w:val="Normal"/>
    <w:uiPriority w:val="99"/>
    <w:semiHidden/>
    <w:unhideWhenUsed/>
    <w:rsid w:val="00902E7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902E7E"/>
  </w:style>
  <w:style w:type="table" w:styleId="Grilledutableau">
    <w:name w:val="Table Grid"/>
    <w:basedOn w:val="TableauNormal"/>
    <w:uiPriority w:val="39"/>
    <w:rsid w:val="0090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0444"/>
    <w:pPr>
      <w:tabs>
        <w:tab w:val="center" w:pos="4536"/>
        <w:tab w:val="right" w:pos="9072"/>
      </w:tabs>
    </w:pPr>
  </w:style>
  <w:style w:type="character" w:customStyle="1" w:styleId="En-tteCar">
    <w:name w:val="En-tête Car"/>
    <w:basedOn w:val="Policepardfaut"/>
    <w:link w:val="En-tte"/>
    <w:uiPriority w:val="99"/>
    <w:rsid w:val="00FB0444"/>
  </w:style>
  <w:style w:type="paragraph" w:styleId="Pieddepage">
    <w:name w:val="footer"/>
    <w:basedOn w:val="Normal"/>
    <w:link w:val="PieddepageCar"/>
    <w:uiPriority w:val="99"/>
    <w:unhideWhenUsed/>
    <w:rsid w:val="00FB0444"/>
    <w:pPr>
      <w:tabs>
        <w:tab w:val="center" w:pos="4536"/>
        <w:tab w:val="right" w:pos="9072"/>
      </w:tabs>
    </w:pPr>
  </w:style>
  <w:style w:type="character" w:customStyle="1" w:styleId="PieddepageCar">
    <w:name w:val="Pied de page Car"/>
    <w:basedOn w:val="Policepardfaut"/>
    <w:link w:val="Pieddepage"/>
    <w:uiPriority w:val="99"/>
    <w:rsid w:val="00FB0444"/>
  </w:style>
  <w:style w:type="character" w:styleId="Lienhypertexte">
    <w:name w:val="Hyperlink"/>
    <w:basedOn w:val="Policepardfaut"/>
    <w:uiPriority w:val="99"/>
    <w:unhideWhenUsed/>
    <w:rsid w:val="00FB0444"/>
    <w:rPr>
      <w:color w:val="0563C1" w:themeColor="hyperlink"/>
      <w:u w:val="single"/>
    </w:rPr>
  </w:style>
  <w:style w:type="character" w:styleId="Mentionnonrsolue">
    <w:name w:val="Unresolved Mention"/>
    <w:basedOn w:val="Policepardfaut"/>
    <w:uiPriority w:val="99"/>
    <w:semiHidden/>
    <w:unhideWhenUsed/>
    <w:rsid w:val="00FB0444"/>
    <w:rPr>
      <w:color w:val="605E5C"/>
      <w:shd w:val="clear" w:color="auto" w:fill="E1DFDD"/>
    </w:rPr>
  </w:style>
  <w:style w:type="character" w:styleId="Lienhypertextesuivivisit">
    <w:name w:val="FollowedHyperlink"/>
    <w:basedOn w:val="Policepardfaut"/>
    <w:uiPriority w:val="99"/>
    <w:semiHidden/>
    <w:unhideWhenUsed/>
    <w:rsid w:val="004A7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5941">
      <w:bodyDiv w:val="1"/>
      <w:marLeft w:val="0"/>
      <w:marRight w:val="0"/>
      <w:marTop w:val="0"/>
      <w:marBottom w:val="0"/>
      <w:divBdr>
        <w:top w:val="none" w:sz="0" w:space="0" w:color="auto"/>
        <w:left w:val="none" w:sz="0" w:space="0" w:color="auto"/>
        <w:bottom w:val="none" w:sz="0" w:space="0" w:color="auto"/>
        <w:right w:val="none" w:sz="0" w:space="0" w:color="auto"/>
      </w:divBdr>
    </w:div>
    <w:div w:id="228150461">
      <w:bodyDiv w:val="1"/>
      <w:marLeft w:val="0"/>
      <w:marRight w:val="0"/>
      <w:marTop w:val="0"/>
      <w:marBottom w:val="0"/>
      <w:divBdr>
        <w:top w:val="none" w:sz="0" w:space="0" w:color="auto"/>
        <w:left w:val="none" w:sz="0" w:space="0" w:color="auto"/>
        <w:bottom w:val="none" w:sz="0" w:space="0" w:color="auto"/>
        <w:right w:val="none" w:sz="0" w:space="0" w:color="auto"/>
      </w:divBdr>
    </w:div>
    <w:div w:id="330567316">
      <w:bodyDiv w:val="1"/>
      <w:marLeft w:val="0"/>
      <w:marRight w:val="0"/>
      <w:marTop w:val="0"/>
      <w:marBottom w:val="0"/>
      <w:divBdr>
        <w:top w:val="none" w:sz="0" w:space="0" w:color="auto"/>
        <w:left w:val="none" w:sz="0" w:space="0" w:color="auto"/>
        <w:bottom w:val="none" w:sz="0" w:space="0" w:color="auto"/>
        <w:right w:val="none" w:sz="0" w:space="0" w:color="auto"/>
      </w:divBdr>
    </w:div>
    <w:div w:id="373432073">
      <w:bodyDiv w:val="1"/>
      <w:marLeft w:val="0"/>
      <w:marRight w:val="0"/>
      <w:marTop w:val="0"/>
      <w:marBottom w:val="0"/>
      <w:divBdr>
        <w:top w:val="none" w:sz="0" w:space="0" w:color="auto"/>
        <w:left w:val="none" w:sz="0" w:space="0" w:color="auto"/>
        <w:bottom w:val="none" w:sz="0" w:space="0" w:color="auto"/>
        <w:right w:val="none" w:sz="0" w:space="0" w:color="auto"/>
      </w:divBdr>
    </w:div>
    <w:div w:id="717163568">
      <w:bodyDiv w:val="1"/>
      <w:marLeft w:val="0"/>
      <w:marRight w:val="0"/>
      <w:marTop w:val="0"/>
      <w:marBottom w:val="0"/>
      <w:divBdr>
        <w:top w:val="none" w:sz="0" w:space="0" w:color="auto"/>
        <w:left w:val="none" w:sz="0" w:space="0" w:color="auto"/>
        <w:bottom w:val="none" w:sz="0" w:space="0" w:color="auto"/>
        <w:right w:val="none" w:sz="0" w:space="0" w:color="auto"/>
      </w:divBdr>
    </w:div>
    <w:div w:id="838277021">
      <w:bodyDiv w:val="1"/>
      <w:marLeft w:val="0"/>
      <w:marRight w:val="0"/>
      <w:marTop w:val="0"/>
      <w:marBottom w:val="0"/>
      <w:divBdr>
        <w:top w:val="none" w:sz="0" w:space="0" w:color="auto"/>
        <w:left w:val="none" w:sz="0" w:space="0" w:color="auto"/>
        <w:bottom w:val="none" w:sz="0" w:space="0" w:color="auto"/>
        <w:right w:val="none" w:sz="0" w:space="0" w:color="auto"/>
      </w:divBdr>
    </w:div>
    <w:div w:id="1052119544">
      <w:bodyDiv w:val="1"/>
      <w:marLeft w:val="0"/>
      <w:marRight w:val="0"/>
      <w:marTop w:val="0"/>
      <w:marBottom w:val="0"/>
      <w:divBdr>
        <w:top w:val="none" w:sz="0" w:space="0" w:color="auto"/>
        <w:left w:val="none" w:sz="0" w:space="0" w:color="auto"/>
        <w:bottom w:val="none" w:sz="0" w:space="0" w:color="auto"/>
        <w:right w:val="none" w:sz="0" w:space="0" w:color="auto"/>
      </w:divBdr>
    </w:div>
    <w:div w:id="1158381378">
      <w:bodyDiv w:val="1"/>
      <w:marLeft w:val="0"/>
      <w:marRight w:val="0"/>
      <w:marTop w:val="0"/>
      <w:marBottom w:val="0"/>
      <w:divBdr>
        <w:top w:val="none" w:sz="0" w:space="0" w:color="auto"/>
        <w:left w:val="none" w:sz="0" w:space="0" w:color="auto"/>
        <w:bottom w:val="none" w:sz="0" w:space="0" w:color="auto"/>
        <w:right w:val="none" w:sz="0" w:space="0" w:color="auto"/>
      </w:divBdr>
    </w:div>
    <w:div w:id="1236937737">
      <w:bodyDiv w:val="1"/>
      <w:marLeft w:val="0"/>
      <w:marRight w:val="0"/>
      <w:marTop w:val="0"/>
      <w:marBottom w:val="0"/>
      <w:divBdr>
        <w:top w:val="none" w:sz="0" w:space="0" w:color="auto"/>
        <w:left w:val="none" w:sz="0" w:space="0" w:color="auto"/>
        <w:bottom w:val="none" w:sz="0" w:space="0" w:color="auto"/>
        <w:right w:val="none" w:sz="0" w:space="0" w:color="auto"/>
      </w:divBdr>
    </w:div>
    <w:div w:id="1483615531">
      <w:bodyDiv w:val="1"/>
      <w:marLeft w:val="0"/>
      <w:marRight w:val="0"/>
      <w:marTop w:val="0"/>
      <w:marBottom w:val="0"/>
      <w:divBdr>
        <w:top w:val="none" w:sz="0" w:space="0" w:color="auto"/>
        <w:left w:val="none" w:sz="0" w:space="0" w:color="auto"/>
        <w:bottom w:val="none" w:sz="0" w:space="0" w:color="auto"/>
        <w:right w:val="none" w:sz="0" w:space="0" w:color="auto"/>
      </w:divBdr>
    </w:div>
    <w:div w:id="1493329204">
      <w:bodyDiv w:val="1"/>
      <w:marLeft w:val="0"/>
      <w:marRight w:val="0"/>
      <w:marTop w:val="0"/>
      <w:marBottom w:val="0"/>
      <w:divBdr>
        <w:top w:val="none" w:sz="0" w:space="0" w:color="auto"/>
        <w:left w:val="none" w:sz="0" w:space="0" w:color="auto"/>
        <w:bottom w:val="none" w:sz="0" w:space="0" w:color="auto"/>
        <w:right w:val="none" w:sz="0" w:space="0" w:color="auto"/>
      </w:divBdr>
    </w:div>
    <w:div w:id="1520387358">
      <w:bodyDiv w:val="1"/>
      <w:marLeft w:val="0"/>
      <w:marRight w:val="0"/>
      <w:marTop w:val="0"/>
      <w:marBottom w:val="0"/>
      <w:divBdr>
        <w:top w:val="none" w:sz="0" w:space="0" w:color="auto"/>
        <w:left w:val="none" w:sz="0" w:space="0" w:color="auto"/>
        <w:bottom w:val="none" w:sz="0" w:space="0" w:color="auto"/>
        <w:right w:val="none" w:sz="0" w:space="0" w:color="auto"/>
      </w:divBdr>
    </w:div>
    <w:div w:id="1697922523">
      <w:bodyDiv w:val="1"/>
      <w:marLeft w:val="0"/>
      <w:marRight w:val="0"/>
      <w:marTop w:val="0"/>
      <w:marBottom w:val="0"/>
      <w:divBdr>
        <w:top w:val="none" w:sz="0" w:space="0" w:color="auto"/>
        <w:left w:val="none" w:sz="0" w:space="0" w:color="auto"/>
        <w:bottom w:val="none" w:sz="0" w:space="0" w:color="auto"/>
        <w:right w:val="none" w:sz="0" w:space="0" w:color="auto"/>
      </w:divBdr>
    </w:div>
    <w:div w:id="20769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ehap.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vulnerabilites-societe.fr"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ulnerabilites-societe.fr/financer-la-perte-dautonomie-quand-les-francais-se-prononce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ferran@synerpa.fr" TargetMode="External"/><Relationship Id="rId2" Type="http://schemas.openxmlformats.org/officeDocument/2006/relationships/hyperlink" Target="mailto:saulnier@ocirp.fr" TargetMode="External"/><Relationship Id="rId1" Type="http://schemas.openxmlformats.org/officeDocument/2006/relationships/hyperlink" Target="mailto:maryse.dewever@fehap.fr" TargetMode="External"/><Relationship Id="rId4" Type="http://schemas.openxmlformats.org/officeDocument/2006/relationships/hyperlink" Target="mailto:roy@synerp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AA8169-AAB4-4487-89F1-6FCF79CCE3C5}">
  <we:reference id="WA200007559" version="12.1.1.0" store="Omex" storeType="OMEX"/>
  <we:alternateReferences>
    <we:reference id="WA200007559" version="12.1.1.0" store="WA200007559" storeType="OMEX"/>
  </we:alternateReferences>
  <we:properties>
    <we:property name="AntidoteWordID" value="&quot;621d83d1-92c9-49fd-9ef5-13d57695a1f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bc6e6c-9040-457a-bc8a-ee90f74781fd">
      <Terms xmlns="http://schemas.microsoft.com/office/infopath/2007/PartnerControls"/>
    </lcf76f155ced4ddcb4097134ff3c332f>
    <TaxCatchAll xmlns="2c37ebc0-1ce3-43ea-8905-e62379ba28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D2A6A369966428609D5F1137484A4" ma:contentTypeVersion="15" ma:contentTypeDescription="Crée un document." ma:contentTypeScope="" ma:versionID="77991d12e38e5ec6022f700de094426e">
  <xsd:schema xmlns:xsd="http://www.w3.org/2001/XMLSchema" xmlns:xs="http://www.w3.org/2001/XMLSchema" xmlns:p="http://schemas.microsoft.com/office/2006/metadata/properties" xmlns:ns2="f8bc6e6c-9040-457a-bc8a-ee90f74781fd" xmlns:ns3="2c37ebc0-1ce3-43ea-8905-e62379ba287c" targetNamespace="http://schemas.microsoft.com/office/2006/metadata/properties" ma:root="true" ma:fieldsID="221248ff9d5b207a3c131217b38e0d14" ns2:_="" ns3:_="">
    <xsd:import namespace="f8bc6e6c-9040-457a-bc8a-ee90f74781fd"/>
    <xsd:import namespace="2c37ebc0-1ce3-43ea-8905-e62379ba28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c6e6c-9040-457a-bc8a-ee90f7478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5c68a94-3896-4aad-98e7-017c908984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7ebc0-1ce3-43ea-8905-e62379ba28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0dafa5-51e8-4db9-89a8-139e552d281a}" ma:internalName="TaxCatchAll" ma:showField="CatchAllData" ma:web="2c37ebc0-1ce3-43ea-8905-e62379ba287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2B363-C65D-4734-BD55-260132B2D630}">
  <ds:schemaRefs>
    <ds:schemaRef ds:uri="http://schemas.microsoft.com/office/2006/metadata/properties"/>
    <ds:schemaRef ds:uri="http://schemas.microsoft.com/office/infopath/2007/PartnerControls"/>
    <ds:schemaRef ds:uri="f8bc6e6c-9040-457a-bc8a-ee90f74781fd"/>
    <ds:schemaRef ds:uri="2c37ebc0-1ce3-43ea-8905-e62379ba287c"/>
  </ds:schemaRefs>
</ds:datastoreItem>
</file>

<file path=customXml/itemProps2.xml><?xml version="1.0" encoding="utf-8"?>
<ds:datastoreItem xmlns:ds="http://schemas.openxmlformats.org/officeDocument/2006/customXml" ds:itemID="{EBB9CF15-A0FA-49FF-A589-3E1B25C105A8}">
  <ds:schemaRefs>
    <ds:schemaRef ds:uri="http://schemas.microsoft.com/sharepoint/v3/contenttype/forms"/>
  </ds:schemaRefs>
</ds:datastoreItem>
</file>

<file path=customXml/itemProps3.xml><?xml version="1.0" encoding="utf-8"?>
<ds:datastoreItem xmlns:ds="http://schemas.openxmlformats.org/officeDocument/2006/customXml" ds:itemID="{640D6C70-E31C-4AD4-AD0D-8D67E90F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c6e6c-9040-457a-bc8a-ee90f74781fd"/>
    <ds:schemaRef ds:uri="2c37ebc0-1ce3-43ea-8905-e62379ba2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7051</Characters>
  <Application>Microsoft Office Word</Application>
  <DocSecurity>0</DocSecurity>
  <Lines>130</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Dewever</dc:creator>
  <cp:keywords/>
  <dc:description/>
  <cp:lastModifiedBy>Catherine tellier</cp:lastModifiedBy>
  <cp:revision>2</cp:revision>
  <dcterms:created xsi:type="dcterms:W3CDTF">2025-06-24T09:32:00Z</dcterms:created>
  <dcterms:modified xsi:type="dcterms:W3CDTF">2025-06-24T09:32:00Z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0x0101006D2D2A6A369966428609D5F1137484A4</vt:lpwstr>
  </property>
  <property fmtid="{D5CDD505-2E9C-101B-9397-08002B2CF9AE}" pid="3" name="MediaServiceImageTags">
    <vt:lpwstr/>
  </property>
</Properties>
</file>